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5CED0D">
      <w:pPr>
        <w:spacing w:line="360" w:lineRule="auto"/>
        <w:jc w:val="center"/>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法国卢比卡设计与游戏动画学院学期交流招生简章</w:t>
      </w:r>
    </w:p>
    <w:p w14:paraId="6AAAAE21">
      <w:pPr>
        <w:spacing w:line="360" w:lineRule="auto"/>
        <w:jc w:val="center"/>
        <w:rPr>
          <w:rFonts w:hint="eastAsia" w:ascii="宋体" w:hAnsi="宋体" w:eastAsia="宋体" w:cs="宋体"/>
          <w:b/>
          <w:bCs/>
          <w:sz w:val="36"/>
          <w:szCs w:val="36"/>
          <w:lang w:eastAsia="zh-CN"/>
        </w:rPr>
      </w:pPr>
    </w:p>
    <w:p w14:paraId="3FC50581">
      <w:pPr>
        <w:spacing w:line="360" w:lineRule="auto"/>
        <w:jc w:val="center"/>
        <w:rPr>
          <w:rFonts w:ascii="Times New Roman" w:hAnsi="Times New Roman" w:eastAsia="仿宋"/>
          <w:sz w:val="21"/>
          <w:szCs w:val="21"/>
        </w:rPr>
      </w:pPr>
      <w:r>
        <w:rPr>
          <w:rFonts w:ascii="Times New Roman" w:hAnsi="Times New Roman" w:eastAsia="仿宋"/>
          <w:sz w:val="21"/>
          <w:szCs w:val="21"/>
        </w:rPr>
        <w:drawing>
          <wp:inline distT="0" distB="0" distL="0" distR="0">
            <wp:extent cx="1800860" cy="570230"/>
            <wp:effectExtent l="0" t="0" r="0" b="0"/>
            <wp:docPr id="629271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71457" name="图片 1"/>
                    <pic:cNvPicPr>
                      <a:picLocks noChangeAspect="1"/>
                    </pic:cNvPicPr>
                  </pic:nvPicPr>
                  <pic:blipFill>
                    <a:blip r:embed="rId6" cstate="print">
                      <a:extLst>
                        <a:ext uri="{28A0092B-C50C-407E-A947-70E740481C1C}">
                          <a14:useLocalDpi xmlns:a14="http://schemas.microsoft.com/office/drawing/2010/main" val="0"/>
                        </a:ext>
                      </a:extLst>
                    </a:blip>
                    <a:srcRect l="7460" t="11775" r="10182" b="22328"/>
                    <a:stretch>
                      <a:fillRect/>
                    </a:stretch>
                  </pic:blipFill>
                  <pic:spPr>
                    <a:xfrm>
                      <a:off x="0" y="0"/>
                      <a:ext cx="1879016" cy="595158"/>
                    </a:xfrm>
                    <a:prstGeom prst="rect">
                      <a:avLst/>
                    </a:prstGeom>
                    <a:ln>
                      <a:noFill/>
                    </a:ln>
                  </pic:spPr>
                </pic:pic>
              </a:graphicData>
            </a:graphic>
          </wp:inline>
        </w:drawing>
      </w:r>
    </w:p>
    <w:p w14:paraId="255B7B52">
      <w:pPr>
        <w:pStyle w:val="10"/>
        <w:spacing w:line="360" w:lineRule="auto"/>
        <w:ind w:left="0" w:leftChars="0" w:firstLine="0" w:firstLineChars="0"/>
        <w:jc w:val="center"/>
        <w:rPr>
          <w:rFonts w:ascii="仿宋" w:hAnsi="仿宋" w:eastAsia="仿宋"/>
          <w:sz w:val="21"/>
          <w:szCs w:val="21"/>
        </w:rPr>
      </w:pPr>
      <w:r>
        <w:rPr>
          <w:rFonts w:ascii="Times New Roman" w:hAnsi="Times New Roman" w:eastAsia="仿宋"/>
          <w:sz w:val="21"/>
          <w:szCs w:val="21"/>
        </w:rPr>
        <w:drawing>
          <wp:inline distT="0" distB="0" distL="114300" distR="114300">
            <wp:extent cx="2660015" cy="520700"/>
            <wp:effectExtent l="0" t="0" r="0" b="0"/>
            <wp:docPr id="119380665" name="图片 119380665" descr="学校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665" name="图片 119380665" descr="学校5"/>
                    <pic:cNvPicPr>
                      <a:picLocks noChangeAspect="1"/>
                    </pic:cNvPicPr>
                  </pic:nvPicPr>
                  <pic:blipFill>
                    <a:blip r:embed="rId7"/>
                    <a:stretch>
                      <a:fillRect/>
                    </a:stretch>
                  </pic:blipFill>
                  <pic:spPr>
                    <a:xfrm>
                      <a:off x="0" y="0"/>
                      <a:ext cx="2709319" cy="530623"/>
                    </a:xfrm>
                    <a:prstGeom prst="rect">
                      <a:avLst/>
                    </a:prstGeom>
                  </pic:spPr>
                </pic:pic>
              </a:graphicData>
            </a:graphic>
          </wp:inline>
        </w:drawing>
      </w:r>
    </w:p>
    <w:p w14:paraId="78F64DB1">
      <w:pPr>
        <w:spacing w:line="360" w:lineRule="auto"/>
        <w:jc w:val="center"/>
        <w:rPr>
          <w:rFonts w:ascii="Times New Roman" w:hAnsi="Times New Roman" w:eastAsia="仿宋"/>
          <w:b/>
          <w:bCs/>
          <w:color w:val="30C0B4" w:themeColor="accent5"/>
          <w:sz w:val="21"/>
          <w:szCs w:val="21"/>
          <w:lang w:val="fr-FR"/>
          <w14:textFill>
            <w14:solidFill>
              <w14:schemeClr w14:val="accent5"/>
            </w14:solidFill>
          </w14:textFill>
        </w:rPr>
      </w:pPr>
      <w:r>
        <w:rPr>
          <w:rFonts w:ascii="Times New Roman" w:hAnsi="Times New Roman" w:eastAsia="仿宋"/>
          <w:b/>
          <w:bCs/>
          <w:color w:val="30C0B4" w:themeColor="accent5"/>
          <w:sz w:val="21"/>
          <w:szCs w:val="21"/>
          <w:lang w:val="fr-FR"/>
          <w14:textFill>
            <w14:solidFill>
              <w14:schemeClr w14:val="accent5"/>
            </w14:solidFill>
          </w14:textFill>
        </w:rPr>
        <w:t>#</w:t>
      </w:r>
      <w:r>
        <w:rPr>
          <w:rFonts w:ascii="Times New Roman" w:hAnsi="Times New Roman" w:eastAsia="仿宋"/>
          <w:b/>
          <w:bCs/>
          <w:color w:val="30C0B4" w:themeColor="accent5"/>
          <w:sz w:val="21"/>
          <w:szCs w:val="21"/>
          <w14:textFill>
            <w14:solidFill>
              <w14:schemeClr w14:val="accent5"/>
            </w14:solidFill>
          </w14:textFill>
        </w:rPr>
        <w:t xml:space="preserve"> 全法</w:t>
      </w:r>
      <w:r>
        <w:rPr>
          <w:rFonts w:hint="eastAsia" w:ascii="Times New Roman" w:hAnsi="Times New Roman" w:eastAsia="仿宋"/>
          <w:b/>
          <w:bCs/>
          <w:color w:val="30C0B4" w:themeColor="accent5"/>
          <w:sz w:val="21"/>
          <w:szCs w:val="21"/>
          <w14:textFill>
            <w14:solidFill>
              <w14:schemeClr w14:val="accent5"/>
            </w14:solidFill>
          </w14:textFill>
        </w:rPr>
        <w:t>排名前三的</w:t>
      </w:r>
      <w:r>
        <w:rPr>
          <w:rFonts w:ascii="Times New Roman" w:hAnsi="Times New Roman" w:eastAsia="仿宋"/>
          <w:b/>
          <w:bCs/>
          <w:color w:val="30C0B4" w:themeColor="accent5"/>
          <w:sz w:val="21"/>
          <w:szCs w:val="21"/>
          <w:lang w:val="fr-FR"/>
          <w14:textFill>
            <w14:solidFill>
              <w14:schemeClr w14:val="accent5"/>
            </w14:solidFill>
          </w14:textFill>
        </w:rPr>
        <w:t>设计院校</w:t>
      </w:r>
      <w:r>
        <w:rPr>
          <w:rFonts w:ascii="Times New Roman" w:hAnsi="Times New Roman" w:eastAsia="仿宋"/>
          <w:b/>
          <w:bCs/>
          <w:color w:val="30C0B4" w:themeColor="accent5"/>
          <w:sz w:val="21"/>
          <w:szCs w:val="21"/>
          <w14:textFill>
            <w14:solidFill>
              <w14:schemeClr w14:val="accent5"/>
            </w14:solidFill>
          </w14:textFill>
        </w:rPr>
        <w:t xml:space="preserve"> </w:t>
      </w:r>
      <w:r>
        <w:rPr>
          <w:rFonts w:ascii="Times New Roman" w:hAnsi="Times New Roman" w:eastAsia="仿宋"/>
          <w:b/>
          <w:bCs/>
          <w:color w:val="30C0B4" w:themeColor="accent5"/>
          <w:sz w:val="21"/>
          <w:szCs w:val="21"/>
          <w:lang w:val="fr-FR"/>
          <w14:textFill>
            <w14:solidFill>
              <w14:schemeClr w14:val="accent5"/>
            </w14:solidFill>
          </w14:textFill>
        </w:rPr>
        <w:t>#</w:t>
      </w:r>
    </w:p>
    <w:p w14:paraId="49D1ECDA">
      <w:pPr>
        <w:spacing w:line="360" w:lineRule="auto"/>
        <w:jc w:val="center"/>
        <w:rPr>
          <w:rFonts w:ascii="仿宋" w:hAnsi="仿宋" w:eastAsia="仿宋"/>
          <w:sz w:val="22"/>
          <w:szCs w:val="22"/>
        </w:rPr>
      </w:pPr>
    </w:p>
    <w:p w14:paraId="31A3BBE0">
      <w:pPr>
        <w:spacing w:line="360" w:lineRule="auto"/>
        <w:jc w:val="both"/>
        <w:rPr>
          <w:rFonts w:hint="default" w:ascii="Times New Roman" w:hAnsi="Times New Roman" w:cs="Times New Roman" w:eastAsiaTheme="minorEastAsia"/>
          <w:b/>
          <w:bCs/>
          <w:sz w:val="20"/>
          <w:szCs w:val="20"/>
        </w:rPr>
      </w:pPr>
      <w:r>
        <w:rPr>
          <w:rFonts w:hint="default" w:ascii="Times New Roman" w:hAnsi="Times New Roman" w:cs="Times New Roman" w:eastAsiaTheme="minorEastAsia"/>
          <w:b/>
          <w:sz w:val="20"/>
          <w:szCs w:val="20"/>
        </w:rPr>
        <w:t>一、学校介绍：</w:t>
      </w:r>
    </w:p>
    <w:p w14:paraId="074E119A">
      <w:pPr>
        <w:spacing w:line="360" w:lineRule="auto"/>
        <w:ind w:firstLine="402" w:firstLineChars="200"/>
        <w:jc w:val="both"/>
        <w:rPr>
          <w:rFonts w:hint="default" w:ascii="Times New Roman" w:hAnsi="Times New Roman" w:cs="Times New Roman" w:eastAsiaTheme="minorEastAsia"/>
          <w:color w:val="000000"/>
          <w:sz w:val="20"/>
          <w:szCs w:val="20"/>
          <w:lang w:bidi="ar"/>
        </w:rPr>
      </w:pPr>
      <w:r>
        <w:rPr>
          <w:rFonts w:hint="default" w:ascii="Times New Roman" w:hAnsi="Times New Roman" w:cs="Times New Roman" w:eastAsiaTheme="minorEastAsia"/>
          <w:b/>
          <w:bCs/>
          <w:sz w:val="20"/>
          <w:szCs w:val="20"/>
        </w:rPr>
        <w:t>法国卢比卡设计与游戏动画学院（RUBIKA）</w:t>
      </w:r>
      <w:r>
        <w:rPr>
          <w:rFonts w:hint="default" w:ascii="Times New Roman" w:hAnsi="Times New Roman" w:cs="Times New Roman" w:eastAsiaTheme="minorEastAsia"/>
          <w:sz w:val="20"/>
          <w:szCs w:val="20"/>
        </w:rPr>
        <w:t xml:space="preserve">由 </w:t>
      </w:r>
      <w:r>
        <w:rPr>
          <w:rFonts w:hint="default" w:ascii="Times New Roman" w:hAnsi="Times New Roman" w:cs="Times New Roman" w:eastAsiaTheme="minorEastAsia"/>
          <w:b/>
          <w:bCs/>
          <w:color w:val="000000"/>
          <w:sz w:val="20"/>
          <w:szCs w:val="20"/>
          <w:lang w:bidi="ar"/>
        </w:rPr>
        <w:t>ISD 设计学院</w:t>
      </w:r>
      <w:r>
        <w:rPr>
          <w:rFonts w:hint="default" w:ascii="Times New Roman" w:hAnsi="Times New Roman" w:cs="Times New Roman" w:eastAsiaTheme="minorEastAsia"/>
          <w:color w:val="000000"/>
          <w:sz w:val="20"/>
          <w:szCs w:val="20"/>
          <w:lang w:bidi="ar"/>
        </w:rPr>
        <w:t>、</w:t>
      </w:r>
      <w:r>
        <w:rPr>
          <w:rFonts w:hint="default" w:ascii="Times New Roman" w:hAnsi="Times New Roman" w:cs="Times New Roman" w:eastAsiaTheme="minorEastAsia"/>
          <w:b/>
          <w:bCs/>
          <w:color w:val="000000"/>
          <w:sz w:val="20"/>
          <w:szCs w:val="20"/>
          <w:lang w:bidi="ar"/>
        </w:rPr>
        <w:t>SUPINFOCOM 动画学院</w:t>
      </w:r>
      <w:r>
        <w:rPr>
          <w:rFonts w:hint="default" w:ascii="Times New Roman" w:hAnsi="Times New Roman" w:cs="Times New Roman" w:eastAsiaTheme="minorEastAsia"/>
          <w:color w:val="000000"/>
          <w:sz w:val="20"/>
          <w:szCs w:val="20"/>
          <w:lang w:bidi="ar"/>
        </w:rPr>
        <w:t>以及</w:t>
      </w:r>
      <w:r>
        <w:rPr>
          <w:rFonts w:hint="default" w:ascii="Times New Roman" w:hAnsi="Times New Roman" w:cs="Times New Roman" w:eastAsiaTheme="minorEastAsia"/>
          <w:b/>
          <w:bCs/>
          <w:color w:val="000000"/>
          <w:sz w:val="20"/>
          <w:szCs w:val="20"/>
          <w:lang w:bidi="ar"/>
        </w:rPr>
        <w:t xml:space="preserve"> SUPINFOGAME 游戏学院</w:t>
      </w:r>
      <w:r>
        <w:rPr>
          <w:rFonts w:hint="default" w:ascii="Times New Roman" w:hAnsi="Times New Roman" w:cs="Times New Roman" w:eastAsiaTheme="minorEastAsia"/>
          <w:color w:val="000000"/>
          <w:sz w:val="20"/>
          <w:szCs w:val="20"/>
          <w:lang w:bidi="ar"/>
        </w:rPr>
        <w:t>三大王牌学院合并而成，在</w:t>
      </w:r>
      <w:r>
        <w:rPr>
          <w:rFonts w:hint="default" w:ascii="Times New Roman" w:hAnsi="Times New Roman" w:cs="Times New Roman" w:eastAsiaTheme="minorEastAsia"/>
          <w:b/>
          <w:bCs/>
          <w:color w:val="000000"/>
          <w:sz w:val="20"/>
          <w:szCs w:val="20"/>
          <w:lang w:bidi="ar"/>
        </w:rPr>
        <w:t>数字创新、产品交互、工业交通及动画游戏</w:t>
      </w:r>
      <w:r>
        <w:rPr>
          <w:rFonts w:hint="default" w:ascii="Times New Roman" w:hAnsi="Times New Roman" w:cs="Times New Roman" w:eastAsiaTheme="minorEastAsia"/>
          <w:color w:val="000000"/>
          <w:sz w:val="20"/>
          <w:szCs w:val="20"/>
          <w:lang w:bidi="ar"/>
        </w:rPr>
        <w:t>等专业领域享有盛誉。学</w:t>
      </w:r>
      <w:r>
        <w:rPr>
          <w:rFonts w:hint="eastAsia" w:ascii="Times New Roman" w:hAnsi="Times New Roman" w:cs="Times New Roman"/>
          <w:color w:val="000000"/>
          <w:sz w:val="20"/>
          <w:szCs w:val="20"/>
          <w:lang w:val="en-US" w:eastAsia="zh-CN" w:bidi="ar"/>
        </w:rPr>
        <w:t>校</w:t>
      </w:r>
      <w:r>
        <w:rPr>
          <w:rFonts w:hint="default" w:ascii="Times New Roman" w:hAnsi="Times New Roman" w:cs="Times New Roman" w:eastAsiaTheme="minorEastAsia"/>
          <w:color w:val="000000"/>
          <w:sz w:val="20"/>
          <w:szCs w:val="20"/>
          <w:lang w:bidi="ar"/>
        </w:rPr>
        <w:t>开设英语或法语授课的五年制本硕连读课程，颁发中法两国教育部认证的硕士文凭。</w:t>
      </w:r>
    </w:p>
    <w:p w14:paraId="7D969979">
      <w:pPr>
        <w:spacing w:line="360" w:lineRule="auto"/>
        <w:jc w:val="center"/>
        <w:rPr>
          <w:rFonts w:hint="default" w:ascii="Times New Roman" w:hAnsi="Times New Roman" w:cs="Times New Roman" w:eastAsiaTheme="minorEastAsia"/>
          <w:color w:val="000000"/>
          <w:kern w:val="24"/>
          <w:sz w:val="20"/>
          <w:szCs w:val="20"/>
        </w:rPr>
      </w:pPr>
      <w:r>
        <w:rPr>
          <w:rFonts w:hint="default" w:ascii="Times New Roman" w:hAnsi="Times New Roman" w:cs="Times New Roman" w:eastAsiaTheme="minorEastAsia"/>
          <w:color w:val="000000"/>
          <w:kern w:val="24"/>
          <w:sz w:val="20"/>
          <w:szCs w:val="20"/>
        </w:rPr>
        <w:drawing>
          <wp:inline distT="0" distB="0" distL="0" distR="0">
            <wp:extent cx="5274310" cy="2105660"/>
            <wp:effectExtent l="0" t="0" r="8890" b="2540"/>
            <wp:docPr id="599042880" name="图片 599042880" descr="建筑旁的房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42880" name="图片 599042880" descr="建筑旁的房子&#10;&#10;描述已自动生成"/>
                    <pic:cNvPicPr>
                      <a:picLocks noChangeAspect="1"/>
                    </pic:cNvPicPr>
                  </pic:nvPicPr>
                  <pic:blipFill>
                    <a:blip r:embed="rId8"/>
                    <a:stretch>
                      <a:fillRect/>
                    </a:stretch>
                  </pic:blipFill>
                  <pic:spPr>
                    <a:xfrm>
                      <a:off x="0" y="0"/>
                      <a:ext cx="5274310" cy="2105660"/>
                    </a:xfrm>
                    <a:prstGeom prst="rect">
                      <a:avLst/>
                    </a:prstGeom>
                  </pic:spPr>
                </pic:pic>
              </a:graphicData>
            </a:graphic>
          </wp:inline>
        </w:drawing>
      </w:r>
    </w:p>
    <w:p w14:paraId="3ED483DF">
      <w:pPr>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(法国卢比卡设计与游戏动画学院法国校区)</w:t>
      </w:r>
    </w:p>
    <w:p w14:paraId="69BC51A2">
      <w:pPr>
        <w:spacing w:line="360" w:lineRule="auto"/>
        <w:ind w:firstLine="420"/>
        <w:jc w:val="left"/>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lang w:val="en-US" w:eastAsia="zh-CN"/>
        </w:rPr>
        <w:t>作为</w:t>
      </w:r>
      <w:r>
        <w:rPr>
          <w:rFonts w:hint="default" w:ascii="Times New Roman" w:hAnsi="Times New Roman" w:cs="Times New Roman" w:eastAsiaTheme="minorEastAsia"/>
          <w:sz w:val="20"/>
          <w:szCs w:val="20"/>
        </w:rPr>
        <w:t>全球顶尖</w:t>
      </w:r>
      <w:r>
        <w:rPr>
          <w:rFonts w:hint="default" w:ascii="Times New Roman" w:hAnsi="Times New Roman" w:cs="Times New Roman" w:eastAsiaTheme="minorEastAsia"/>
          <w:sz w:val="20"/>
          <w:szCs w:val="20"/>
          <w:lang w:val="en-US" w:eastAsia="zh-CN"/>
        </w:rPr>
        <w:t>的</w:t>
      </w:r>
      <w:r>
        <w:rPr>
          <w:rFonts w:hint="default" w:ascii="Times New Roman" w:hAnsi="Times New Roman" w:cs="Times New Roman" w:eastAsiaTheme="minorEastAsia"/>
          <w:sz w:val="20"/>
          <w:szCs w:val="20"/>
        </w:rPr>
        <w:t>设计与游戏动画名校</w:t>
      </w:r>
      <w:r>
        <w:rPr>
          <w:rFonts w:hint="default" w:ascii="Times New Roman" w:hAnsi="Times New Roman" w:cs="Times New Roman" w:eastAsiaTheme="minorEastAsia"/>
          <w:sz w:val="20"/>
          <w:szCs w:val="20"/>
          <w:lang w:eastAsia="zh-CN"/>
        </w:rPr>
        <w:t>，</w:t>
      </w:r>
      <w:r>
        <w:rPr>
          <w:rFonts w:hint="default" w:ascii="Times New Roman" w:hAnsi="Times New Roman" w:cs="Times New Roman" w:eastAsiaTheme="minorEastAsia"/>
          <w:sz w:val="20"/>
          <w:szCs w:val="20"/>
          <w:lang w:val="en-US" w:eastAsia="zh-CN"/>
        </w:rPr>
        <w:t>RUBIKA</w:t>
      </w:r>
      <w:r>
        <w:rPr>
          <w:rFonts w:hint="default" w:ascii="Times New Roman" w:hAnsi="Times New Roman" w:cs="Times New Roman" w:eastAsiaTheme="minorEastAsia"/>
          <w:sz w:val="20"/>
          <w:szCs w:val="20"/>
        </w:rPr>
        <w:t>带领学生累积斩获千余国际奖项</w:t>
      </w:r>
      <w:r>
        <w:rPr>
          <w:rFonts w:hint="default" w:ascii="Times New Roman" w:hAnsi="Times New Roman" w:cs="Times New Roman" w:eastAsiaTheme="minorEastAsia"/>
          <w:sz w:val="20"/>
          <w:szCs w:val="20"/>
          <w:lang w:eastAsia="zh-CN"/>
        </w:rPr>
        <w:t>，</w:t>
      </w:r>
      <w:r>
        <w:rPr>
          <w:rFonts w:hint="default" w:ascii="Times New Roman" w:hAnsi="Times New Roman" w:cs="Times New Roman" w:eastAsiaTheme="minorEastAsia"/>
          <w:sz w:val="20"/>
          <w:szCs w:val="20"/>
        </w:rPr>
        <w:t>近年来在专业排名中也表现不俗。在202</w:t>
      </w:r>
      <w:r>
        <w:rPr>
          <w:rFonts w:hint="default" w:ascii="Times New Roman" w:hAnsi="Times New Roman" w:cs="Times New Roman" w:eastAsiaTheme="minorEastAsia"/>
          <w:sz w:val="20"/>
          <w:szCs w:val="20"/>
          <w:lang w:val="en-US" w:eastAsia="zh-CN"/>
        </w:rPr>
        <w:t>5</w:t>
      </w:r>
      <w:r>
        <w:rPr>
          <w:rFonts w:hint="default" w:ascii="Times New Roman" w:hAnsi="Times New Roman" w:cs="Times New Roman" w:eastAsiaTheme="minorEastAsia"/>
          <w:sz w:val="20"/>
          <w:szCs w:val="20"/>
        </w:rPr>
        <w:t>年Eduniversal全法设计硕士专业排名前列；2020 年被 ACR 评为全球第三、欧洲排名第二动画设计院校；2018 年起连续被费加罗报评为最佳动画设计院校；2015 年起连续被费加罗报评为最佳电子游戏设计院校。</w:t>
      </w:r>
    </w:p>
    <w:p w14:paraId="3B8D796B">
      <w:pPr>
        <w:spacing w:line="360" w:lineRule="auto"/>
        <w:jc w:val="center"/>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drawing>
          <wp:inline distT="0" distB="0" distL="0" distR="0">
            <wp:extent cx="5039995" cy="593725"/>
            <wp:effectExtent l="0" t="0" r="1905" b="3175"/>
            <wp:docPr id="695785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85222" name="图片 1"/>
                    <pic:cNvPicPr>
                      <a:picLocks noChangeAspect="1"/>
                    </pic:cNvPicPr>
                  </pic:nvPicPr>
                  <pic:blipFill>
                    <a:blip r:embed="rId9" cstate="print">
                      <a:extLst>
                        <a:ext uri="{28A0092B-C50C-407E-A947-70E740481C1C}">
                          <a14:useLocalDpi xmlns:a14="http://schemas.microsoft.com/office/drawing/2010/main" val="0"/>
                        </a:ext>
                      </a:extLst>
                    </a:blip>
                    <a:srcRect l="1993" t="16508" r="5079" b="12838"/>
                    <a:stretch>
                      <a:fillRect/>
                    </a:stretch>
                  </pic:blipFill>
                  <pic:spPr>
                    <a:xfrm>
                      <a:off x="0" y="0"/>
                      <a:ext cx="5039995" cy="593725"/>
                    </a:xfrm>
                    <a:prstGeom prst="rect">
                      <a:avLst/>
                    </a:prstGeom>
                    <a:ln>
                      <a:noFill/>
                    </a:ln>
                  </pic:spPr>
                </pic:pic>
              </a:graphicData>
            </a:graphic>
          </wp:inline>
        </w:drawing>
      </w:r>
    </w:p>
    <w:p w14:paraId="5EE561B1">
      <w:pPr>
        <w:spacing w:line="360" w:lineRule="auto"/>
        <w:ind w:firstLine="400" w:firstLineChars="2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RUBIKA坐落于</w:t>
      </w:r>
      <w:r>
        <w:rPr>
          <w:rFonts w:hint="default" w:ascii="Times New Roman" w:hAnsi="Times New Roman" w:cs="Times New Roman" w:eastAsiaTheme="minorEastAsia"/>
          <w:b/>
          <w:bCs/>
          <w:sz w:val="20"/>
          <w:szCs w:val="20"/>
        </w:rPr>
        <w:t>法国科创之城</w:t>
      </w:r>
      <w:r>
        <w:rPr>
          <w:rFonts w:hint="default" w:ascii="Times New Roman" w:hAnsi="Times New Roman" w:cs="Times New Roman" w:eastAsiaTheme="minorEastAsia"/>
          <w:sz w:val="20"/>
          <w:szCs w:val="20"/>
        </w:rPr>
        <w:t>瓦朗谢纳，于2014年由法国总统钦点French Tech称号。作为法国北部的重要枢纽城市，联通五个欧洲主要国家的首都（巴黎、布鲁塞尔、阿姆斯特丹、伦敦、卢森堡）。便捷的交通，以及大力发展数字设计、交通与可持续发展，让瓦朗谢纳天然成为众多企业青睐之选，纷纷在此开设工厂或研发中心，为RUBIKA学生提供了丰富的职业资源，如</w:t>
      </w:r>
      <w:r>
        <w:rPr>
          <w:rFonts w:hint="default" w:ascii="Times New Roman" w:hAnsi="Times New Roman" w:cs="Times New Roman" w:eastAsiaTheme="minorEastAsia"/>
          <w:b/>
          <w:bCs/>
          <w:sz w:val="20"/>
          <w:szCs w:val="20"/>
        </w:rPr>
        <w:t>丰田汽车、阿尔斯通、迪卡侬、摩登纳</w:t>
      </w:r>
      <w:r>
        <w:rPr>
          <w:rFonts w:hint="default" w:ascii="Times New Roman" w:hAnsi="Times New Roman" w:cs="Times New Roman" w:eastAsiaTheme="minorEastAsia"/>
          <w:sz w:val="20"/>
          <w:szCs w:val="20"/>
        </w:rPr>
        <w:t>等。</w:t>
      </w:r>
    </w:p>
    <w:p w14:paraId="072FACD1">
      <w:pPr>
        <w:spacing w:line="360" w:lineRule="auto"/>
        <w:jc w:val="center"/>
        <w:rPr>
          <w:rFonts w:hint="default" w:ascii="Times New Roman" w:hAnsi="Times New Roman" w:cs="Times New Roman" w:eastAsiaTheme="minorEastAsia"/>
          <w:sz w:val="20"/>
          <w:szCs w:val="20"/>
          <w:lang w:val="en-US" w:eastAsia="zh-CN"/>
        </w:rPr>
      </w:pPr>
      <w:r>
        <w:rPr>
          <w:rFonts w:hint="default" w:ascii="Times New Roman" w:hAnsi="Times New Roman" w:cs="Times New Roman" w:eastAsiaTheme="minorEastAsia"/>
          <w:sz w:val="20"/>
          <w:szCs w:val="20"/>
          <w:lang w:val="en-US" w:eastAsia="zh-CN"/>
        </w:rPr>
        <w:drawing>
          <wp:inline distT="0" distB="0" distL="114300" distR="114300">
            <wp:extent cx="5334635" cy="2700020"/>
            <wp:effectExtent l="0" t="0" r="12065" b="5080"/>
            <wp:docPr id="12" name="图片 12" descr="未命名的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未命名的设计"/>
                    <pic:cNvPicPr>
                      <a:picLocks noChangeAspect="1"/>
                    </pic:cNvPicPr>
                  </pic:nvPicPr>
                  <pic:blipFill>
                    <a:blip r:embed="rId10"/>
                    <a:srcRect t="16999" b="15537"/>
                    <a:stretch>
                      <a:fillRect/>
                    </a:stretch>
                  </pic:blipFill>
                  <pic:spPr>
                    <a:xfrm>
                      <a:off x="0" y="0"/>
                      <a:ext cx="5334635" cy="2700020"/>
                    </a:xfrm>
                    <a:prstGeom prst="rect">
                      <a:avLst/>
                    </a:prstGeom>
                  </pic:spPr>
                </pic:pic>
              </a:graphicData>
            </a:graphic>
          </wp:inline>
        </w:drawing>
      </w:r>
    </w:p>
    <w:p w14:paraId="62E236BC">
      <w:pPr>
        <w:spacing w:line="360" w:lineRule="auto"/>
        <w:ind w:firstLine="400" w:firstLineChars="2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RUBIKA致力于为学生打造最适宜的教学环境，教学空间占地</w:t>
      </w:r>
      <w:r>
        <w:rPr>
          <w:rFonts w:hint="default" w:ascii="Times New Roman" w:hAnsi="Times New Roman" w:cs="Times New Roman" w:eastAsiaTheme="minorEastAsia"/>
          <w:b/>
          <w:bCs/>
          <w:sz w:val="20"/>
          <w:szCs w:val="20"/>
        </w:rPr>
        <w:t>17,000 平方米</w:t>
      </w:r>
      <w:r>
        <w:rPr>
          <w:rFonts w:hint="default" w:ascii="Times New Roman" w:hAnsi="Times New Roman" w:cs="Times New Roman" w:eastAsiaTheme="minorEastAsia"/>
          <w:sz w:val="20"/>
          <w:szCs w:val="20"/>
        </w:rPr>
        <w:t>，配备先进的教学设备：</w:t>
      </w:r>
      <w:r>
        <w:rPr>
          <w:rFonts w:hint="default" w:ascii="Times New Roman" w:hAnsi="Times New Roman" w:cs="Times New Roman" w:eastAsiaTheme="minorEastAsia"/>
          <w:b/>
          <w:bCs/>
          <w:sz w:val="20"/>
          <w:szCs w:val="20"/>
        </w:rPr>
        <w:t>专业摄影/剪辑/录音工作室、4K投影厅、渲染服务器集群、沉浸式VR空间、原型制造车间</w:t>
      </w:r>
      <w:r>
        <w:rPr>
          <w:rFonts w:hint="default" w:ascii="Times New Roman" w:hAnsi="Times New Roman" w:cs="Times New Roman" w:eastAsiaTheme="minorEastAsia"/>
          <w:sz w:val="20"/>
          <w:szCs w:val="20"/>
        </w:rPr>
        <w:t>等。RUBIKA每年</w:t>
      </w:r>
      <w:r>
        <w:rPr>
          <w:rFonts w:hint="default" w:ascii="Times New Roman" w:hAnsi="Times New Roman" w:cs="Times New Roman" w:eastAsiaTheme="minorEastAsia"/>
          <w:b/>
          <w:bCs/>
          <w:sz w:val="20"/>
          <w:szCs w:val="20"/>
        </w:rPr>
        <w:t>投资100万欧元用于购买更新IT设备、软件许可</w:t>
      </w:r>
      <w:r>
        <w:rPr>
          <w:rFonts w:hint="default" w:ascii="Times New Roman" w:hAnsi="Times New Roman" w:cs="Times New Roman" w:eastAsiaTheme="minorEastAsia"/>
          <w:sz w:val="20"/>
          <w:szCs w:val="20"/>
        </w:rPr>
        <w:t>，以完美支持学生创作所需。每位在校生均配备</w:t>
      </w:r>
      <w:r>
        <w:rPr>
          <w:rFonts w:hint="default" w:ascii="Times New Roman" w:hAnsi="Times New Roman" w:cs="Times New Roman" w:eastAsiaTheme="minorEastAsia"/>
          <w:b/>
          <w:bCs/>
          <w:sz w:val="20"/>
          <w:szCs w:val="20"/>
        </w:rPr>
        <w:t>专用的个人电脑及软件</w:t>
      </w:r>
      <w:r>
        <w:rPr>
          <w:rFonts w:hint="default" w:ascii="Times New Roman" w:hAnsi="Times New Roman" w:cs="Times New Roman" w:eastAsiaTheme="minorEastAsia"/>
          <w:sz w:val="20"/>
          <w:szCs w:val="20"/>
        </w:rPr>
        <w:t>，确保他们可以轻松拎包入学，专注于创作与学习。</w:t>
      </w:r>
    </w:p>
    <w:p w14:paraId="2415E673">
      <w:pPr>
        <w:spacing w:line="360" w:lineRule="auto"/>
        <w:jc w:val="center"/>
        <w:rPr>
          <w:rFonts w:hint="default" w:ascii="Times New Roman" w:hAnsi="Times New Roman" w:cs="Times New Roman" w:eastAsiaTheme="minorEastAsia"/>
          <w:sz w:val="20"/>
          <w:szCs w:val="20"/>
        </w:rPr>
      </w:pPr>
      <w:r>
        <w:rPr>
          <w:rFonts w:hint="eastAsia" w:ascii="Times New Roman" w:hAnsi="Times New Roman" w:cs="Times New Roman" w:eastAsiaTheme="minorEastAsia"/>
          <w:sz w:val="20"/>
          <w:szCs w:val="20"/>
          <w:lang w:eastAsia="zh-CN"/>
        </w:rPr>
        <w:drawing>
          <wp:inline distT="0" distB="0" distL="114300" distR="114300">
            <wp:extent cx="5341620" cy="1800225"/>
            <wp:effectExtent l="0" t="0" r="5080" b="3175"/>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
                    <pic:cNvPicPr>
                      <a:picLocks noChangeAspect="1"/>
                    </pic:cNvPicPr>
                  </pic:nvPicPr>
                  <pic:blipFill>
                    <a:blip r:embed="rId11"/>
                    <a:srcRect t="27474" b="27587"/>
                    <a:stretch>
                      <a:fillRect/>
                    </a:stretch>
                  </pic:blipFill>
                  <pic:spPr>
                    <a:xfrm>
                      <a:off x="0" y="0"/>
                      <a:ext cx="5341620" cy="1800225"/>
                    </a:xfrm>
                    <a:prstGeom prst="rect">
                      <a:avLst/>
                    </a:prstGeom>
                  </pic:spPr>
                </pic:pic>
              </a:graphicData>
            </a:graphic>
          </wp:inline>
        </w:drawing>
      </w:r>
    </w:p>
    <w:p w14:paraId="584AEAA3">
      <w:pPr>
        <w:spacing w:line="360" w:lineRule="auto"/>
        <w:ind w:firstLine="400" w:firstLineChars="2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RUBIKA秉持</w:t>
      </w:r>
      <w:r>
        <w:rPr>
          <w:rFonts w:hint="default" w:ascii="Times New Roman" w:hAnsi="Times New Roman" w:cs="Times New Roman" w:eastAsiaTheme="minorEastAsia"/>
          <w:b/>
          <w:bCs/>
          <w:sz w:val="20"/>
          <w:szCs w:val="20"/>
        </w:rPr>
        <w:t>“将热情</w:t>
      </w:r>
      <w:r>
        <w:rPr>
          <w:rFonts w:hint="eastAsia" w:ascii="Times New Roman" w:hAnsi="Times New Roman" w:cs="Times New Roman"/>
          <w:b/>
          <w:bCs/>
          <w:sz w:val="20"/>
          <w:szCs w:val="20"/>
          <w:lang w:val="en-US" w:eastAsia="zh-CN"/>
        </w:rPr>
        <w:t>注入</w:t>
      </w:r>
      <w:r>
        <w:rPr>
          <w:rFonts w:hint="default" w:ascii="Times New Roman" w:hAnsi="Times New Roman" w:cs="Times New Roman" w:eastAsiaTheme="minorEastAsia"/>
          <w:b/>
          <w:bCs/>
          <w:sz w:val="20"/>
          <w:szCs w:val="20"/>
        </w:rPr>
        <w:t>职业”</w:t>
      </w:r>
      <w:r>
        <w:rPr>
          <w:rFonts w:hint="default" w:ascii="Times New Roman" w:hAnsi="Times New Roman" w:cs="Times New Roman" w:eastAsiaTheme="minorEastAsia"/>
          <w:sz w:val="20"/>
          <w:szCs w:val="20"/>
        </w:rPr>
        <w:t>的教学理念，自创校以来受到业内高度认可；</w:t>
      </w:r>
      <w:r>
        <w:rPr>
          <w:rFonts w:hint="default" w:ascii="Times New Roman" w:hAnsi="Times New Roman" w:cs="Times New Roman" w:eastAsiaTheme="minorEastAsia"/>
          <w:b/>
          <w:bCs/>
          <w:sz w:val="20"/>
          <w:szCs w:val="20"/>
        </w:rPr>
        <w:t>近1/3的学生在未正式毕业前便已获得企业录用，90%的毕业生能够直接进入各大知名动画、游戏和设计公司，56%</w:t>
      </w:r>
      <w:r>
        <w:rPr>
          <w:rFonts w:hint="default" w:ascii="Times New Roman" w:hAnsi="Times New Roman" w:cs="Times New Roman" w:eastAsiaTheme="minorEastAsia"/>
          <w:sz w:val="20"/>
          <w:szCs w:val="20"/>
        </w:rPr>
        <w:t>的学生被法国以外的企业录用，部分学生则选择创业并成功创立独立工作室。</w:t>
      </w:r>
    </w:p>
    <w:p w14:paraId="2F1AAAB8">
      <w:pPr>
        <w:spacing w:line="360" w:lineRule="auto"/>
        <w:ind w:firstLine="400" w:firstLineChars="200"/>
        <w:jc w:val="both"/>
        <w:rPr>
          <w:rFonts w:hint="default" w:ascii="Times New Roman" w:hAnsi="Times New Roman" w:cs="Times New Roman" w:eastAsiaTheme="minorEastAsia"/>
          <w:sz w:val="20"/>
          <w:szCs w:val="20"/>
        </w:rPr>
      </w:pPr>
      <w:r>
        <w:rPr>
          <w:rFonts w:hint="default" w:ascii="Times New Roman" w:hAnsi="Times New Roman" w:cs="Times New Roman" w:eastAsiaTheme="minorEastAsia"/>
          <w:sz w:val="20"/>
          <w:szCs w:val="20"/>
        </w:rPr>
        <w:t>在校企合作方面，RUBIKA与</w:t>
      </w:r>
      <w:r>
        <w:rPr>
          <w:rFonts w:hint="default" w:ascii="Times New Roman" w:hAnsi="Times New Roman" w:cs="Times New Roman" w:eastAsiaTheme="minorEastAsia"/>
          <w:b/>
          <w:bCs/>
          <w:sz w:val="20"/>
          <w:szCs w:val="20"/>
        </w:rPr>
        <w:t>全球300多家知名企业建立了紧密的合作关系，</w:t>
      </w:r>
      <w:r>
        <w:rPr>
          <w:rFonts w:hint="default" w:ascii="Times New Roman" w:hAnsi="Times New Roman" w:cs="Times New Roman" w:eastAsiaTheme="minorEastAsia"/>
          <w:sz w:val="20"/>
          <w:szCs w:val="20"/>
        </w:rPr>
        <w:t>携手培育精英职业人士。</w:t>
      </w:r>
      <w:r>
        <w:rPr>
          <w:rFonts w:hint="default" w:ascii="Times New Roman" w:hAnsi="Times New Roman" w:cs="Times New Roman" w:eastAsiaTheme="minorEastAsia"/>
          <w:b/>
          <w:bCs/>
          <w:sz w:val="20"/>
          <w:szCs w:val="20"/>
        </w:rPr>
        <w:t>这些企业包括迪士尼、皮克斯、梦工厂等知名动画制作公司，育碧工作室等尖端游戏公司，以及吉利集团、宝马、奥迪等交通解决方案先行者。</w:t>
      </w:r>
      <w:r>
        <w:rPr>
          <w:rFonts w:hint="default" w:ascii="Times New Roman" w:hAnsi="Times New Roman" w:cs="Times New Roman" w:eastAsiaTheme="minorEastAsia"/>
          <w:sz w:val="20"/>
          <w:szCs w:val="20"/>
        </w:rPr>
        <w:t>此外，RUBIKA每年组织学生参与400场以上国际赛事及展览活动，</w:t>
      </w:r>
      <w:r>
        <w:rPr>
          <w:rFonts w:hint="default" w:ascii="Times New Roman" w:hAnsi="Times New Roman" w:cs="Times New Roman" w:eastAsiaTheme="minorEastAsia"/>
          <w:b/>
          <w:bCs/>
          <w:sz w:val="20"/>
          <w:szCs w:val="20"/>
        </w:rPr>
        <w:t>斩获近千个国际奖项</w:t>
      </w:r>
      <w:r>
        <w:rPr>
          <w:rFonts w:hint="default" w:ascii="Times New Roman" w:hAnsi="Times New Roman" w:cs="Times New Roman" w:eastAsiaTheme="minorEastAsia"/>
          <w:sz w:val="20"/>
          <w:szCs w:val="20"/>
        </w:rPr>
        <w:t>，曾屡次获得SIGGRAPH 奖、红点设计奖、Ping 奖和最佳视频游戏及国际数字电影奖项等。</w:t>
      </w:r>
    </w:p>
    <w:p w14:paraId="4D938176">
      <w:pPr>
        <w:spacing w:line="360" w:lineRule="auto"/>
        <w:jc w:val="center"/>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5219700" cy="1468120"/>
            <wp:effectExtent l="0" t="0" r="0" b="5080"/>
            <wp:docPr id="11" name="图片 11" descr="a409dd9de8e72c1d55933ccbe2bcb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409dd9de8e72c1d55933ccbe2bcb09a"/>
                    <pic:cNvPicPr>
                      <a:picLocks noChangeAspect="1"/>
                    </pic:cNvPicPr>
                  </pic:nvPicPr>
                  <pic:blipFill>
                    <a:blip r:embed="rId12"/>
                    <a:stretch>
                      <a:fillRect/>
                    </a:stretch>
                  </pic:blipFill>
                  <pic:spPr>
                    <a:xfrm>
                      <a:off x="0" y="0"/>
                      <a:ext cx="5219700" cy="1468120"/>
                    </a:xfrm>
                    <a:prstGeom prst="rect">
                      <a:avLst/>
                    </a:prstGeom>
                  </pic:spPr>
                </pic:pic>
              </a:graphicData>
            </a:graphic>
          </wp:inline>
        </w:drawing>
      </w:r>
    </w:p>
    <w:p w14:paraId="4EF2B166">
      <w:pPr>
        <w:spacing w:line="360" w:lineRule="auto"/>
        <w:jc w:val="center"/>
        <w:rPr>
          <w:rFonts w:hint="eastAsia" w:ascii="Times New Roman" w:hAnsi="Times New Roman" w:cs="Times New Roman" w:eastAsiaTheme="minorEastAsia"/>
          <w:sz w:val="20"/>
          <w:szCs w:val="20"/>
          <w:lang w:eastAsia="zh-CN"/>
        </w:rPr>
      </w:pPr>
      <w:r>
        <w:rPr>
          <w:rFonts w:hint="eastAsia" w:ascii="Times New Roman" w:hAnsi="Times New Roman" w:cs="Times New Roman"/>
          <w:sz w:val="20"/>
          <w:szCs w:val="20"/>
          <w:lang w:eastAsia="zh-CN"/>
        </w:rPr>
        <w:t>（</w:t>
      </w:r>
      <w:r>
        <w:rPr>
          <w:rFonts w:hint="eastAsia" w:ascii="Times New Roman" w:hAnsi="Times New Roman" w:cs="Times New Roman"/>
          <w:sz w:val="20"/>
          <w:szCs w:val="20"/>
          <w:lang w:val="en-US" w:eastAsia="zh-CN"/>
        </w:rPr>
        <w:t>部分学生作品</w:t>
      </w:r>
      <w:r>
        <w:rPr>
          <w:rFonts w:hint="eastAsia" w:ascii="Times New Roman" w:hAnsi="Times New Roman" w:cs="Times New Roman"/>
          <w:sz w:val="20"/>
          <w:szCs w:val="20"/>
          <w:lang w:eastAsia="zh-CN"/>
        </w:rPr>
        <w:t>）</w:t>
      </w:r>
    </w:p>
    <w:p w14:paraId="051FFF28">
      <w:pPr>
        <w:spacing w:line="360" w:lineRule="auto"/>
        <w:jc w:val="center"/>
        <w:rPr>
          <w:rFonts w:hint="eastAsia" w:ascii="Times New Roman" w:hAnsi="Times New Roman" w:cs="Times New Roman" w:eastAsiaTheme="minorEastAsia"/>
          <w:sz w:val="20"/>
          <w:szCs w:val="20"/>
          <w:lang w:eastAsia="zh-CN"/>
        </w:rPr>
      </w:pPr>
      <w:r>
        <w:rPr>
          <w:rFonts w:hint="eastAsia" w:ascii="Times New Roman" w:hAnsi="Times New Roman" w:cs="Times New Roman" w:eastAsiaTheme="minorEastAsia"/>
          <w:sz w:val="20"/>
          <w:szCs w:val="20"/>
          <w:lang w:eastAsia="zh-CN"/>
        </w:rPr>
        <w:drawing>
          <wp:inline distT="0" distB="0" distL="114300" distR="114300">
            <wp:extent cx="5219700" cy="1647825"/>
            <wp:effectExtent l="0" t="0" r="0" b="3175"/>
            <wp:docPr id="1" name="图片 1" descr="未命名的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的设计"/>
                    <pic:cNvPicPr>
                      <a:picLocks noChangeAspect="1"/>
                    </pic:cNvPicPr>
                  </pic:nvPicPr>
                  <pic:blipFill>
                    <a:blip r:embed="rId13"/>
                    <a:srcRect t="29370" b="28535"/>
                    <a:stretch>
                      <a:fillRect/>
                    </a:stretch>
                  </pic:blipFill>
                  <pic:spPr>
                    <a:xfrm>
                      <a:off x="0" y="0"/>
                      <a:ext cx="5219700" cy="1647825"/>
                    </a:xfrm>
                    <a:prstGeom prst="rect">
                      <a:avLst/>
                    </a:prstGeom>
                  </pic:spPr>
                </pic:pic>
              </a:graphicData>
            </a:graphic>
          </wp:inline>
        </w:drawing>
      </w:r>
    </w:p>
    <w:p w14:paraId="66230305">
      <w:pPr>
        <w:spacing w:line="360" w:lineRule="auto"/>
        <w:jc w:val="center"/>
        <w:rPr>
          <w:rFonts w:hint="eastAsia" w:ascii="Times New Roman" w:hAnsi="Times New Roman" w:cs="Times New Roman"/>
          <w:sz w:val="20"/>
          <w:szCs w:val="20"/>
          <w:lang w:eastAsia="zh-CN"/>
        </w:rPr>
      </w:pPr>
      <w:r>
        <w:rPr>
          <w:rFonts w:hint="eastAsia" w:ascii="Times New Roman" w:hAnsi="Times New Roman" w:cs="Times New Roman"/>
          <w:sz w:val="20"/>
          <w:szCs w:val="20"/>
          <w:lang w:eastAsia="zh-CN"/>
        </w:rPr>
        <w:t>（</w:t>
      </w:r>
      <w:r>
        <w:rPr>
          <w:rFonts w:hint="eastAsia" w:ascii="Times New Roman" w:hAnsi="Times New Roman" w:cs="Times New Roman"/>
          <w:sz w:val="20"/>
          <w:szCs w:val="20"/>
          <w:lang w:val="en-US" w:eastAsia="zh-CN"/>
        </w:rPr>
        <w:t>部分合作企业</w:t>
      </w:r>
      <w:r>
        <w:rPr>
          <w:rFonts w:hint="eastAsia" w:ascii="Times New Roman" w:hAnsi="Times New Roman" w:cs="Times New Roman"/>
          <w:sz w:val="20"/>
          <w:szCs w:val="20"/>
          <w:lang w:eastAsia="zh-CN"/>
        </w:rPr>
        <w:t>）</w:t>
      </w:r>
    </w:p>
    <w:p w14:paraId="74445C8E">
      <w:pPr>
        <w:spacing w:line="360" w:lineRule="auto"/>
        <w:jc w:val="center"/>
        <w:rPr>
          <w:rFonts w:hint="eastAsia" w:ascii="Times New Roman" w:hAnsi="Times New Roman" w:cs="Times New Roman"/>
          <w:sz w:val="20"/>
          <w:szCs w:val="20"/>
          <w:lang w:val="en-US" w:eastAsia="zh-CN"/>
        </w:rPr>
      </w:pPr>
    </w:p>
    <w:p w14:paraId="113B03B0">
      <w:pPr>
        <w:spacing w:line="360" w:lineRule="auto"/>
        <w:rPr>
          <w:rFonts w:hint="default" w:ascii="Times New Roman" w:hAnsi="Times New Roman" w:cs="Times New Roman"/>
          <w:sz w:val="20"/>
          <w:szCs w:val="20"/>
          <w:lang w:eastAsia="zh-CN"/>
        </w:rPr>
      </w:pPr>
      <w:r>
        <w:rPr>
          <w:rFonts w:hint="default" w:ascii="Times New Roman" w:hAnsi="Times New Roman" w:cs="Times New Roman" w:eastAsiaTheme="minorEastAsia"/>
          <w:b/>
          <w:bCs/>
          <w:sz w:val="20"/>
          <w:szCs w:val="20"/>
        </w:rPr>
        <w:t>中国留学网认证院校：</w:t>
      </w:r>
    </w:p>
    <w:p w14:paraId="7E4526AB">
      <w:pPr>
        <w:spacing w:line="360" w:lineRule="auto"/>
        <w:jc w:val="left"/>
        <w:rPr>
          <w:rFonts w:hint="default" w:ascii="Times New Roman" w:hAnsi="Times New Roman" w:cs="Times New Roman" w:eastAsiaTheme="minorEastAsia"/>
          <w:b/>
          <w:bCs/>
          <w:sz w:val="20"/>
          <w:szCs w:val="20"/>
          <w:lang w:eastAsia="zh-CN"/>
        </w:rPr>
      </w:pPr>
      <w:r>
        <w:rPr>
          <w:rFonts w:ascii="Times New Roman" w:hAnsi="Times New Roman" w:eastAsia="仿宋"/>
          <w:b/>
          <w:bCs/>
          <w:sz w:val="21"/>
          <w:szCs w:val="21"/>
        </w:rPr>
        <w:drawing>
          <wp:inline distT="0" distB="0" distL="114300" distR="114300">
            <wp:extent cx="3374390" cy="2541270"/>
            <wp:effectExtent l="0" t="0" r="3810" b="11430"/>
            <wp:docPr id="3" name="图片 3" descr="beb536321f209772e80f6fadf0a42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eb536321f209772e80f6fadf0a429e6"/>
                    <pic:cNvPicPr>
                      <a:picLocks noChangeAspect="1"/>
                    </pic:cNvPicPr>
                  </pic:nvPicPr>
                  <pic:blipFill>
                    <a:blip r:embed="rId14"/>
                    <a:srcRect r="10435"/>
                    <a:stretch>
                      <a:fillRect/>
                    </a:stretch>
                  </pic:blipFill>
                  <pic:spPr>
                    <a:xfrm>
                      <a:off x="0" y="0"/>
                      <a:ext cx="3374390" cy="2541270"/>
                    </a:xfrm>
                    <a:prstGeom prst="rect">
                      <a:avLst/>
                    </a:prstGeom>
                  </pic:spPr>
                </pic:pic>
              </a:graphicData>
            </a:graphic>
          </wp:inline>
        </w:drawing>
      </w:r>
      <w:r>
        <w:rPr>
          <w:rFonts w:ascii="Times New Roman" w:hAnsi="Times New Roman" w:eastAsia="仿宋"/>
          <w:b/>
          <w:bCs/>
          <w:sz w:val="21"/>
          <w:szCs w:val="21"/>
        </w:rPr>
        <w:drawing>
          <wp:inline distT="0" distB="0" distL="0" distR="0">
            <wp:extent cx="1821815" cy="2520315"/>
            <wp:effectExtent l="0" t="0" r="6985" b="6985"/>
            <wp:docPr id="5" name="图片 1" descr="ae1d820e91d4da10788c0608d49a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ae1d820e91d4da10788c0608d49a469"/>
                    <pic:cNvPicPr>
                      <a:picLocks noChangeAspect="1"/>
                    </pic:cNvPicPr>
                  </pic:nvPicPr>
                  <pic:blipFill>
                    <a:blip r:embed="rId15">
                      <a:lum bright="12000" contrast="12000"/>
                    </a:blip>
                    <a:srcRect l="2885" r="1468" b="2074"/>
                    <a:stretch>
                      <a:fillRect/>
                    </a:stretch>
                  </pic:blipFill>
                  <pic:spPr>
                    <a:xfrm>
                      <a:off x="0" y="0"/>
                      <a:ext cx="1821815" cy="2520315"/>
                    </a:xfrm>
                    <a:prstGeom prst="rect">
                      <a:avLst/>
                    </a:prstGeom>
                  </pic:spPr>
                </pic:pic>
              </a:graphicData>
            </a:graphic>
          </wp:inline>
        </w:drawing>
      </w:r>
    </w:p>
    <w:p w14:paraId="3EFA47A8">
      <w:pPr>
        <w:spacing w:line="360" w:lineRule="auto"/>
        <w:rPr>
          <w:rFonts w:hint="eastAsia" w:asciiTheme="minorEastAsia" w:hAnsiTheme="minorEastAsia" w:eastAsiaTheme="minorEastAsia" w:cstheme="minorEastAsia"/>
          <w:b/>
          <w:bCs/>
          <w:sz w:val="20"/>
          <w:szCs w:val="20"/>
        </w:rPr>
      </w:pPr>
      <w:r>
        <w:rPr>
          <w:rFonts w:hint="default" w:ascii="Times New Roman" w:hAnsi="Times New Roman" w:cs="Times New Roman" w:eastAsiaTheme="minorEastAsia"/>
          <w:i/>
          <w:iCs/>
          <w:sz w:val="20"/>
          <w:szCs w:val="20"/>
        </w:rPr>
        <w:t>*注：法国院校的中文名翻译在中国留学网网站上会略有出入，以法语名称为准。</w:t>
      </w:r>
    </w:p>
    <w:p w14:paraId="429AB010">
      <w:pPr>
        <w:spacing w:line="360" w:lineRule="auto"/>
        <w:jc w:val="left"/>
        <w:rPr>
          <w:rFonts w:hint="default" w:ascii="Times New Roman" w:hAnsi="Times New Roman" w:cs="Times New Roman" w:eastAsiaTheme="minorEastAsia"/>
          <w:b/>
          <w:bCs/>
          <w:sz w:val="20"/>
          <w:szCs w:val="20"/>
          <w:lang w:eastAsia="zh-CN"/>
        </w:rPr>
        <w:sectPr>
          <w:footerReference r:id="rId3" w:type="default"/>
          <w:footerReference r:id="rId4" w:type="even"/>
          <w:pgSz w:w="11906" w:h="16838"/>
          <w:pgMar w:top="1440" w:right="1800" w:bottom="1440" w:left="1800" w:header="851" w:footer="992" w:gutter="0"/>
          <w:cols w:space="425" w:num="1"/>
          <w:docGrid w:type="lines" w:linePitch="312" w:charSpace="0"/>
        </w:sectPr>
      </w:pPr>
    </w:p>
    <w:p w14:paraId="74B6E980">
      <w:pPr>
        <w:spacing w:line="360" w:lineRule="auto"/>
        <w:jc w:val="both"/>
        <w:rPr>
          <w:rFonts w:hint="eastAsia" w:ascii="Times New Roman" w:hAnsi="Times New Roman" w:cs="Times New Roman" w:eastAsiaTheme="minorEastAsia"/>
          <w:b/>
          <w:bCs/>
          <w:sz w:val="20"/>
          <w:szCs w:val="20"/>
          <w:lang w:val="en-US" w:eastAsia="zh-CN" w:bidi="ar-SA"/>
        </w:rPr>
      </w:pPr>
      <w:r>
        <w:rPr>
          <w:rFonts w:hint="eastAsia" w:ascii="Times New Roman" w:hAnsi="Times New Roman" w:cs="Times New Roman" w:eastAsiaTheme="minorEastAsia"/>
          <w:b/>
          <w:bCs/>
          <w:sz w:val="20"/>
          <w:szCs w:val="20"/>
          <w:lang w:val="en-US" w:eastAsia="zh-CN" w:bidi="ar-SA"/>
        </w:rPr>
        <w:t>二、项目内容</w:t>
      </w:r>
    </w:p>
    <w:p w14:paraId="6D791941">
      <w:pPr>
        <w:pStyle w:val="10"/>
        <w:numPr>
          <w:ilvl w:val="0"/>
          <w:numId w:val="1"/>
        </w:numPr>
        <w:spacing w:line="360" w:lineRule="auto"/>
        <w:ind w:left="0" w:leftChars="0" w:firstLine="0" w:firstLineChars="0"/>
        <w:jc w:val="both"/>
        <w:rPr>
          <w:rFonts w:hint="default" w:ascii="Times New Roman" w:hAnsi="Times New Roman" w:cs="Times New Roman"/>
          <w:sz w:val="20"/>
          <w:szCs w:val="20"/>
          <w:lang w:val="en-US" w:eastAsia="zh-CN"/>
        </w:rPr>
      </w:pPr>
      <w:r>
        <w:rPr>
          <w:rFonts w:hint="eastAsia" w:ascii="Times New Roman" w:hAnsi="Times New Roman" w:cs="Times New Roman" w:eastAsiaTheme="minorEastAsia"/>
          <w:b/>
          <w:bCs/>
          <w:sz w:val="20"/>
          <w:szCs w:val="20"/>
          <w:lang w:val="en-US" w:eastAsia="zh-CN" w:bidi="ar-SA"/>
        </w:rPr>
        <w:t>项目</w:t>
      </w:r>
      <w:r>
        <w:rPr>
          <w:rFonts w:hint="eastAsia" w:ascii="Times New Roman" w:hAnsi="Times New Roman" w:cs="Times New Roman"/>
          <w:b/>
          <w:bCs/>
          <w:sz w:val="20"/>
          <w:szCs w:val="20"/>
          <w:lang w:val="en-US" w:eastAsia="zh-CN" w:bidi="ar-SA"/>
        </w:rPr>
        <w:t>简介</w:t>
      </w:r>
      <w:r>
        <w:rPr>
          <w:rFonts w:hint="eastAsia" w:ascii="Times New Roman" w:hAnsi="Times New Roman" w:cs="Times New Roman" w:eastAsiaTheme="minorEastAsia"/>
          <w:b/>
          <w:bCs/>
          <w:sz w:val="20"/>
          <w:szCs w:val="20"/>
          <w:lang w:val="en-US" w:eastAsia="zh-CN" w:bidi="ar-SA"/>
        </w:rPr>
        <w:t>：</w:t>
      </w:r>
      <w:r>
        <w:rPr>
          <w:rFonts w:hint="eastAsia" w:ascii="Times New Roman" w:hAnsi="Times New Roman" w:cs="Times New Roman" w:eastAsiaTheme="minorEastAsia"/>
          <w:sz w:val="20"/>
          <w:szCs w:val="20"/>
          <w:lang w:val="en-US" w:eastAsia="zh-CN" w:bidi="ar-SA"/>
        </w:rPr>
        <w:t>针</w:t>
      </w:r>
      <w:r>
        <w:rPr>
          <w:rFonts w:hint="eastAsia" w:ascii="Times New Roman" w:hAnsi="Times New Roman" w:cs="Times New Roman"/>
          <w:sz w:val="20"/>
          <w:szCs w:val="20"/>
          <w:lang w:val="en-US" w:eastAsia="zh-CN"/>
        </w:rPr>
        <w:t>对上海理工大学出版学院在读本科生，可选择于</w:t>
      </w:r>
      <w:r>
        <w:rPr>
          <w:rFonts w:hint="eastAsia" w:ascii="Times New Roman" w:hAnsi="Times New Roman" w:cs="Times New Roman"/>
          <w:b/>
          <w:bCs/>
          <w:color w:val="0000FF"/>
          <w:sz w:val="20"/>
          <w:szCs w:val="20"/>
          <w:lang w:val="en-US" w:eastAsia="zh-CN"/>
        </w:rPr>
        <w:t>秋季学期或春季学期</w:t>
      </w:r>
      <w:r>
        <w:rPr>
          <w:rFonts w:hint="eastAsia" w:ascii="Times New Roman" w:hAnsi="Times New Roman" w:cs="Times New Roman"/>
          <w:sz w:val="20"/>
          <w:szCs w:val="20"/>
          <w:lang w:val="en-US" w:eastAsia="zh-CN"/>
        </w:rPr>
        <w:t>赴法国卢比卡设计与游戏动画学院进行一学期的学习交流并获得对应成绩学分以及学习证明，参加本项目所获学分经出版学院根据学期交流课表审核后将转换为被认可的相关学分，并计入学分系统。</w:t>
      </w:r>
    </w:p>
    <w:p w14:paraId="50BD2E75">
      <w:pPr>
        <w:pStyle w:val="10"/>
        <w:numPr>
          <w:ilvl w:val="0"/>
          <w:numId w:val="1"/>
        </w:numPr>
        <w:spacing w:line="360" w:lineRule="auto"/>
        <w:ind w:left="0" w:leftChars="0" w:firstLine="0" w:firstLineChars="0"/>
        <w:jc w:val="both"/>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授课语言：</w:t>
      </w:r>
      <w:r>
        <w:rPr>
          <w:rFonts w:hint="eastAsia" w:ascii="Times New Roman" w:hAnsi="Times New Roman" w:cs="Times New Roman"/>
          <w:sz w:val="20"/>
          <w:szCs w:val="20"/>
          <w:lang w:val="en-US" w:eastAsia="zh-CN"/>
        </w:rPr>
        <w:t>英语</w:t>
      </w:r>
    </w:p>
    <w:p w14:paraId="64D0B8EB">
      <w:pPr>
        <w:numPr>
          <w:ilvl w:val="0"/>
          <w:numId w:val="1"/>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申请要求：</w:t>
      </w:r>
    </w:p>
    <w:p w14:paraId="7E6D1142">
      <w:pPr>
        <w:numPr>
          <w:ilvl w:val="0"/>
          <w:numId w:val="0"/>
        </w:numPr>
        <w:spacing w:line="360" w:lineRule="auto"/>
        <w:ind w:leftChars="0"/>
        <w:rPr>
          <w:rFonts w:hint="default"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（1）雅思5.5及以上，能适应英文授课环境，无法语要求；提交作品集、个人材料后参与面试。</w:t>
      </w:r>
    </w:p>
    <w:p w14:paraId="6E866BFC">
      <w:pPr>
        <w:numPr>
          <w:ilvl w:val="0"/>
          <w:numId w:val="0"/>
        </w:numPr>
        <w:spacing w:line="360" w:lineRule="auto"/>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fr-FR" w:eastAsia="zh-CN"/>
        </w:rPr>
        <w:t>（2）</w:t>
      </w:r>
      <w:r>
        <w:rPr>
          <w:rFonts w:hint="eastAsia" w:ascii="Times New Roman" w:hAnsi="Times New Roman" w:cs="Times New Roman"/>
          <w:sz w:val="20"/>
          <w:szCs w:val="20"/>
          <w:lang w:val="en-US" w:eastAsia="zh-CN"/>
        </w:rPr>
        <w:t>以下专业学生均可报名：工业设计系、动画系。</w:t>
      </w:r>
    </w:p>
    <w:p w14:paraId="649FB636">
      <w:pPr>
        <w:numPr>
          <w:ilvl w:val="0"/>
          <w:numId w:val="0"/>
        </w:numPr>
        <w:spacing w:line="360" w:lineRule="auto"/>
        <w:rPr>
          <w:rFonts w:hint="eastAsia" w:ascii="Times New Roman" w:hAnsi="Times New Roman" w:cs="Times New Roman"/>
          <w:sz w:val="20"/>
          <w:szCs w:val="20"/>
          <w:lang w:val="en-US" w:eastAsia="zh-CN"/>
        </w:rPr>
      </w:pPr>
      <w:r>
        <w:rPr>
          <w:rFonts w:hint="eastAsia" w:ascii="Times New Roman" w:hAnsi="Times New Roman" w:cs="Times New Roman"/>
          <w:sz w:val="20"/>
          <w:szCs w:val="20"/>
          <w:lang w:val="en-US" w:eastAsia="zh-CN"/>
        </w:rPr>
        <w:t>（3）法方院校可申请专业：产品设计、交互设计、交通设计、3D动画</w:t>
      </w:r>
    </w:p>
    <w:p w14:paraId="470BBAE4">
      <w:pPr>
        <w:numPr>
          <w:ilvl w:val="0"/>
          <w:numId w:val="0"/>
        </w:numPr>
        <w:spacing w:line="360" w:lineRule="auto"/>
        <w:ind w:left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4. 项目费用</w:t>
      </w:r>
      <w:r>
        <w:rPr>
          <w:rFonts w:hint="eastAsia" w:ascii="Times New Roman" w:hAnsi="Times New Roman" w:cs="Times New Roman"/>
          <w:sz w:val="20"/>
          <w:szCs w:val="20"/>
          <w:lang w:val="en-US" w:eastAsia="zh-CN"/>
        </w:rPr>
        <w:t>：8800欧元</w:t>
      </w:r>
    </w:p>
    <w:p w14:paraId="7CB671AE">
      <w:pPr>
        <w:numPr>
          <w:ilvl w:val="0"/>
          <w:numId w:val="0"/>
        </w:numPr>
        <w:spacing w:line="360" w:lineRule="auto"/>
        <w:rPr>
          <w:rFonts w:hint="default" w:ascii="Times New Roman" w:hAnsi="Times New Roman" w:cs="Times New Roman"/>
          <w:sz w:val="20"/>
          <w:szCs w:val="20"/>
          <w:lang w:val="en-US" w:eastAsia="zh-CN"/>
        </w:rPr>
      </w:pPr>
      <w:r>
        <w:rPr>
          <w:rFonts w:hint="default" w:ascii="Times New Roman" w:hAnsi="Times New Roman" w:cs="Times New Roman"/>
          <w:sz w:val="20"/>
          <w:szCs w:val="20"/>
          <w:lang w:val="en-US" w:eastAsia="zh-CN"/>
        </w:rPr>
        <w:t>以上费用含项目申请费、一学期学费、签证办理服务、境外服务费用；不包含由法领馆及签证中心收取的法国申根签证费用与增值服务费、往返机票、在法期间食宿和交通等相关费用，具体情况请咨询相关老师。</w:t>
      </w:r>
    </w:p>
    <w:p w14:paraId="28C5EDA0">
      <w:pPr>
        <w:numPr>
          <w:ilvl w:val="0"/>
          <w:numId w:val="1"/>
        </w:numPr>
        <w:spacing w:line="360" w:lineRule="auto"/>
        <w:ind w:left="0" w:leftChars="0" w:firstLine="0" w:firstLineChars="0"/>
        <w:rPr>
          <w:rFonts w:hint="default" w:ascii="Times New Roman" w:hAnsi="Times New Roman" w:cs="Times New Roman"/>
          <w:sz w:val="20"/>
          <w:szCs w:val="20"/>
          <w:lang w:val="en-US" w:eastAsia="zh-CN"/>
        </w:rPr>
      </w:pPr>
      <w:r>
        <w:rPr>
          <w:rFonts w:hint="eastAsia" w:ascii="Times New Roman" w:hAnsi="Times New Roman" w:cs="Times New Roman"/>
          <w:b/>
          <w:bCs/>
          <w:sz w:val="20"/>
          <w:szCs w:val="20"/>
          <w:lang w:val="en-US" w:eastAsia="zh-CN"/>
        </w:rPr>
        <w:t>法方申请截止日期：</w:t>
      </w:r>
      <w:r>
        <w:rPr>
          <w:rFonts w:hint="eastAsia" w:ascii="Times New Roman" w:hAnsi="Times New Roman" w:cs="Times New Roman"/>
          <w:sz w:val="20"/>
          <w:szCs w:val="20"/>
          <w:lang w:val="en-US" w:eastAsia="zh-CN"/>
        </w:rPr>
        <w:t>秋季学期每年6月30日，春季学期每年11月15日。</w:t>
      </w:r>
    </w:p>
    <w:p w14:paraId="55AFDA9E">
      <w:pPr>
        <w:numPr>
          <w:ilvl w:val="0"/>
          <w:numId w:val="0"/>
        </w:numPr>
        <w:spacing w:line="360" w:lineRule="auto"/>
        <w:ind w:leftChars="0"/>
        <w:rPr>
          <w:rFonts w:hint="default" w:ascii="Times New Roman" w:hAnsi="Times New Roman" w:cs="Times New Roman"/>
          <w:sz w:val="20"/>
          <w:szCs w:val="20"/>
          <w:lang w:val="en-US" w:eastAsia="zh-CN"/>
        </w:rPr>
      </w:pPr>
    </w:p>
    <w:p w14:paraId="1D56C282">
      <w:pPr>
        <w:numPr>
          <w:ilvl w:val="0"/>
          <w:numId w:val="0"/>
        </w:numPr>
        <w:spacing w:line="360" w:lineRule="auto"/>
        <w:jc w:val="both"/>
        <w:rPr>
          <w:rFonts w:hint="eastAsia" w:asciiTheme="minorEastAsia" w:hAnsiTheme="minorEastAsia" w:eastAsiaTheme="minorEastAsia" w:cstheme="minorEastAsia"/>
          <w:b/>
          <w:bCs/>
          <w:sz w:val="20"/>
          <w:szCs w:val="20"/>
          <w:lang w:bidi="ar"/>
        </w:rPr>
      </w:pPr>
      <w:r>
        <w:rPr>
          <w:rStyle w:val="7"/>
          <w:rFonts w:hint="eastAsia" w:asciiTheme="minorEastAsia" w:hAnsiTheme="minorEastAsia" w:cstheme="minorEastAsia"/>
          <w:bCs/>
          <w:spacing w:val="15"/>
          <w:sz w:val="20"/>
          <w:szCs w:val="20"/>
          <w:lang w:val="en-US" w:eastAsia="zh-CN"/>
        </w:rPr>
        <w:t>三、</w:t>
      </w:r>
      <w:r>
        <w:rPr>
          <w:rStyle w:val="7"/>
          <w:rFonts w:hint="eastAsia" w:asciiTheme="minorEastAsia" w:hAnsiTheme="minorEastAsia" w:eastAsiaTheme="minorEastAsia" w:cstheme="minorEastAsia"/>
          <w:bCs/>
          <w:spacing w:val="15"/>
          <w:sz w:val="20"/>
          <w:szCs w:val="20"/>
        </w:rPr>
        <w:t>项目优势</w:t>
      </w:r>
      <w:bookmarkStart w:id="1" w:name="_GoBack"/>
      <w:bookmarkEnd w:id="1"/>
      <w:bookmarkStart w:id="0" w:name="OLE_LINK1"/>
    </w:p>
    <w:p w14:paraId="29CD4A30">
      <w:pPr>
        <w:pStyle w:val="3"/>
        <w:widowControl/>
        <w:numPr>
          <w:ilvl w:val="0"/>
          <w:numId w:val="2"/>
        </w:numPr>
        <w:spacing w:beforeAutospacing="0" w:afterAutospacing="0" w:line="360" w:lineRule="auto"/>
        <w:jc w:val="both"/>
        <w:rPr>
          <w:rFonts w:hint="default" w:ascii="Times New Roman" w:hAnsi="Times New Roman" w:cs="Times New Roman" w:eastAsiaTheme="minorEastAsia"/>
          <w:sz w:val="20"/>
          <w:szCs w:val="20"/>
          <w:lang w:bidi="ar"/>
        </w:rPr>
      </w:pPr>
      <w:r>
        <w:rPr>
          <w:rFonts w:hint="default" w:ascii="Times New Roman" w:hAnsi="Times New Roman" w:cs="Times New Roman" w:eastAsiaTheme="minorEastAsia"/>
          <w:b/>
          <w:bCs/>
          <w:sz w:val="20"/>
          <w:szCs w:val="20"/>
          <w:lang w:bidi="ar"/>
        </w:rPr>
        <w:t>强大的师资团队</w:t>
      </w:r>
      <w:r>
        <w:rPr>
          <w:rFonts w:hint="default" w:ascii="Times New Roman" w:hAnsi="Times New Roman" w:cs="Times New Roman" w:eastAsiaTheme="minorEastAsia"/>
          <w:b/>
          <w:bCs/>
          <w:sz w:val="20"/>
          <w:szCs w:val="20"/>
          <w:lang w:eastAsia="zh-CN" w:bidi="ar"/>
        </w:rPr>
        <w:t>：</w:t>
      </w:r>
      <w:r>
        <w:rPr>
          <w:rFonts w:hint="default" w:ascii="Times New Roman" w:hAnsi="Times New Roman" w:cs="Times New Roman" w:eastAsiaTheme="minorEastAsia"/>
          <w:sz w:val="20"/>
          <w:szCs w:val="20"/>
          <w:lang w:bidi="ar"/>
        </w:rPr>
        <w:t>法国卢比卡设计与游戏动画学院</w:t>
      </w:r>
      <w:r>
        <w:rPr>
          <w:rFonts w:hint="default" w:ascii="Times New Roman" w:hAnsi="Times New Roman" w:cs="Times New Roman" w:eastAsiaTheme="minorEastAsia"/>
          <w:sz w:val="20"/>
          <w:szCs w:val="20"/>
          <w:lang w:val="en-US" w:eastAsia="zh-CN" w:bidi="ar"/>
        </w:rPr>
        <w:t>学期交流课程均</w:t>
      </w:r>
      <w:r>
        <w:rPr>
          <w:rFonts w:hint="default" w:ascii="Times New Roman" w:hAnsi="Times New Roman" w:cs="Times New Roman" w:eastAsiaTheme="minorEastAsia"/>
          <w:sz w:val="20"/>
          <w:szCs w:val="20"/>
          <w:lang w:bidi="ar"/>
        </w:rPr>
        <w:t>由</w:t>
      </w:r>
      <w:r>
        <w:rPr>
          <w:rFonts w:hint="eastAsia" w:ascii="Times New Roman" w:hAnsi="Times New Roman" w:cs="Times New Roman"/>
          <w:sz w:val="20"/>
          <w:szCs w:val="20"/>
          <w:lang w:val="en-US" w:eastAsia="zh-CN" w:bidi="ar"/>
        </w:rPr>
        <w:t>行业内</w:t>
      </w:r>
      <w:r>
        <w:rPr>
          <w:rFonts w:hint="default" w:ascii="Times New Roman" w:hAnsi="Times New Roman" w:cs="Times New Roman" w:eastAsiaTheme="minorEastAsia"/>
          <w:sz w:val="20"/>
          <w:szCs w:val="20"/>
          <w:lang w:bidi="ar"/>
        </w:rPr>
        <w:t>知名设计师、</w:t>
      </w:r>
      <w:r>
        <w:rPr>
          <w:rFonts w:hint="eastAsia" w:ascii="Times New Roman" w:hAnsi="Times New Roman" w:cs="Times New Roman"/>
          <w:sz w:val="20"/>
          <w:szCs w:val="20"/>
          <w:lang w:val="en-US" w:eastAsia="zh-CN" w:bidi="ar"/>
        </w:rPr>
        <w:t>动画师与艺术</w:t>
      </w:r>
      <w:r>
        <w:rPr>
          <w:rFonts w:hint="default" w:ascii="Times New Roman" w:hAnsi="Times New Roman" w:cs="Times New Roman" w:eastAsiaTheme="minorEastAsia"/>
          <w:sz w:val="20"/>
          <w:szCs w:val="20"/>
          <w:lang w:bidi="ar"/>
        </w:rPr>
        <w:t>家等亲自授课，注重理论与实践结合，教学紧密对接行业需求。部分师资列举：</w:t>
      </w:r>
    </w:p>
    <w:p w14:paraId="1D8021ED">
      <w:pPr>
        <w:pStyle w:val="3"/>
        <w:widowControl/>
        <w:numPr>
          <w:ilvl w:val="0"/>
          <w:numId w:val="0"/>
        </w:numPr>
        <w:spacing w:beforeAutospacing="0" w:afterAutospacing="0" w:line="360" w:lineRule="auto"/>
        <w:jc w:val="center"/>
        <w:rPr>
          <w:rFonts w:hint="default" w:ascii="Times New Roman" w:hAnsi="Times New Roman" w:cs="Times New Roman" w:eastAsiaTheme="minorEastAsia"/>
          <w:sz w:val="20"/>
          <w:szCs w:val="20"/>
          <w:lang w:val="en-US" w:eastAsia="zh-CN" w:bidi="ar-SA"/>
        </w:rPr>
      </w:pPr>
      <w:r>
        <w:rPr>
          <w:rFonts w:hint="default" w:ascii="Times New Roman" w:hAnsi="Times New Roman" w:cs="Times New Roman" w:eastAsiaTheme="minorEastAsia"/>
          <w:sz w:val="20"/>
          <w:szCs w:val="20"/>
          <w:lang w:val="en-US" w:eastAsia="zh-CN" w:bidi="ar-SA"/>
        </w:rPr>
        <w:drawing>
          <wp:inline distT="0" distB="0" distL="114300" distR="114300">
            <wp:extent cx="1322705" cy="1330960"/>
            <wp:effectExtent l="0" t="0" r="10795" b="2540"/>
            <wp:docPr id="18" name="图片 18" descr="174460331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44603319090"/>
                    <pic:cNvPicPr>
                      <a:picLocks noChangeAspect="1"/>
                    </pic:cNvPicPr>
                  </pic:nvPicPr>
                  <pic:blipFill>
                    <a:blip r:embed="rId16"/>
                    <a:stretch>
                      <a:fillRect/>
                    </a:stretch>
                  </pic:blipFill>
                  <pic:spPr>
                    <a:xfrm>
                      <a:off x="0" y="0"/>
                      <a:ext cx="1322705" cy="1330960"/>
                    </a:xfrm>
                    <a:prstGeom prst="rect">
                      <a:avLst/>
                    </a:prstGeom>
                  </pic:spPr>
                </pic:pic>
              </a:graphicData>
            </a:graphic>
          </wp:inline>
        </w:drawing>
      </w:r>
    </w:p>
    <w:p w14:paraId="30241F36">
      <w:pPr>
        <w:pStyle w:val="3"/>
        <w:keepNext w:val="0"/>
        <w:keepLines w:val="0"/>
        <w:widowControl/>
        <w:suppressLineNumbers w:val="0"/>
        <w:spacing w:before="0" w:beforeAutospacing="1" w:after="0" w:afterAutospacing="1" w:line="360" w:lineRule="auto"/>
        <w:ind w:left="0" w:right="0"/>
        <w:jc w:val="both"/>
        <w:rPr>
          <w:rFonts w:hint="eastAsia" w:asciiTheme="minorEastAsia" w:hAnsiTheme="minorEastAsia" w:eastAsiaTheme="minorEastAsia" w:cstheme="minorEastAsia"/>
          <w:b w:val="0"/>
          <w:bCs w:val="0"/>
          <w:sz w:val="20"/>
          <w:szCs w:val="20"/>
          <w:lang w:val="en-US" w:eastAsia="zh-CN" w:bidi="ar-SA"/>
        </w:rPr>
      </w:pPr>
      <w:r>
        <w:rPr>
          <w:rFonts w:hint="default" w:ascii="Times New Roman" w:hAnsi="Times New Roman" w:cs="Times New Roman" w:eastAsiaTheme="minorEastAsia"/>
          <w:b/>
          <w:bCs/>
          <w:sz w:val="20"/>
          <w:szCs w:val="20"/>
          <w:lang w:val="en-US" w:eastAsia="zh-CN" w:bidi="ar-SA"/>
        </w:rPr>
        <w:t>RUBIKA 2D动画教学负责人、预科课程教学总负责人、插画师与漫画创作者</w:t>
      </w:r>
      <w:r>
        <w:rPr>
          <w:rFonts w:hint="default" w:ascii="Times New Roman" w:hAnsi="Times New Roman" w:cs="Times New Roman" w:eastAsiaTheme="minorEastAsia"/>
          <w:b w:val="0"/>
          <w:bCs w:val="0"/>
          <w:sz w:val="20"/>
          <w:szCs w:val="20"/>
          <w:lang w:val="en-US" w:eastAsia="zh-CN" w:bidi="ar-SA"/>
        </w:rPr>
        <w:t>，是一位集创作才华与教学领导力于一身的资深艺术导师，长期致力于</w:t>
      </w:r>
      <w:r>
        <w:rPr>
          <w:rFonts w:hint="default" w:ascii="Times New Roman" w:hAnsi="Times New Roman" w:cs="Times New Roman" w:eastAsiaTheme="minorEastAsia"/>
          <w:b/>
          <w:bCs/>
          <w:sz w:val="20"/>
          <w:szCs w:val="20"/>
          <w:lang w:val="en-US" w:eastAsia="zh-CN" w:bidi="ar-SA"/>
        </w:rPr>
        <w:t>绘画、透视、插画创作与项目指导等</w:t>
      </w:r>
      <w:r>
        <w:rPr>
          <w:rFonts w:hint="default" w:ascii="Times New Roman" w:hAnsi="Times New Roman" w:cs="Times New Roman" w:eastAsiaTheme="minorEastAsia"/>
          <w:b w:val="0"/>
          <w:bCs w:val="0"/>
          <w:sz w:val="20"/>
          <w:szCs w:val="20"/>
          <w:lang w:val="en-US" w:eastAsia="zh-CN" w:bidi="ar-SA"/>
        </w:rPr>
        <w:t>核心课程，拥有深厚的</w:t>
      </w:r>
      <w:r>
        <w:rPr>
          <w:rFonts w:hint="default" w:ascii="Times New Roman" w:hAnsi="Times New Roman" w:cs="Times New Roman" w:eastAsiaTheme="minorEastAsia"/>
          <w:b/>
          <w:bCs/>
          <w:sz w:val="20"/>
          <w:szCs w:val="20"/>
          <w:lang w:val="en-US" w:eastAsia="zh-CN" w:bidi="ar-SA"/>
        </w:rPr>
        <w:t>美术功底与跨</w:t>
      </w:r>
      <w:r>
        <w:rPr>
          <w:rFonts w:hint="eastAsia" w:asciiTheme="minorEastAsia" w:hAnsiTheme="minorEastAsia" w:eastAsiaTheme="minorEastAsia" w:cstheme="minorEastAsia"/>
          <w:b/>
          <w:bCs/>
          <w:sz w:val="20"/>
          <w:szCs w:val="20"/>
          <w:lang w:val="en-US" w:eastAsia="zh-CN" w:bidi="ar-SA"/>
        </w:rPr>
        <w:t>媒体创作能力</w:t>
      </w:r>
      <w:r>
        <w:rPr>
          <w:rFonts w:hint="eastAsia" w:asciiTheme="minorEastAsia" w:hAnsiTheme="minorEastAsia" w:eastAsiaTheme="minorEastAsia" w:cstheme="minorEastAsia"/>
          <w:b w:val="0"/>
          <w:bCs w:val="0"/>
          <w:sz w:val="20"/>
          <w:szCs w:val="20"/>
          <w:lang w:val="en-US" w:eastAsia="zh-CN" w:bidi="ar-SA"/>
        </w:rPr>
        <w:t>，专业技能涵盖概念</w:t>
      </w:r>
      <w:r>
        <w:rPr>
          <w:rFonts w:hint="eastAsia" w:asciiTheme="minorEastAsia" w:hAnsiTheme="minorEastAsia" w:eastAsiaTheme="minorEastAsia" w:cstheme="minorEastAsia"/>
          <w:b/>
          <w:bCs/>
          <w:sz w:val="20"/>
          <w:szCs w:val="20"/>
          <w:lang w:val="en-US" w:eastAsia="zh-CN" w:bidi="ar-SA"/>
        </w:rPr>
        <w:t>设计、游戏机制构建、线上互动内容开发</w:t>
      </w:r>
      <w:r>
        <w:rPr>
          <w:rFonts w:hint="eastAsia" w:asciiTheme="minorEastAsia" w:hAnsiTheme="minorEastAsia" w:eastAsiaTheme="minorEastAsia" w:cstheme="minorEastAsia"/>
          <w:b w:val="0"/>
          <w:bCs w:val="0"/>
          <w:sz w:val="20"/>
          <w:szCs w:val="20"/>
          <w:lang w:val="en-US" w:eastAsia="zh-CN" w:bidi="ar-SA"/>
        </w:rPr>
        <w:t>等多个领域，活跃于游戏、出版、数字艺术等多个创意产业交叉地带。</w:t>
      </w:r>
    </w:p>
    <w:p w14:paraId="0F2A3C7D">
      <w:pPr>
        <w:spacing w:line="360" w:lineRule="auto"/>
        <w:jc w:val="center"/>
        <w:rPr>
          <w:rFonts w:hint="eastAsia" w:asciiTheme="minorEastAsia" w:hAnsiTheme="minorEastAsia" w:eastAsiaTheme="minorEastAsia" w:cstheme="minorEastAsia"/>
          <w:b/>
          <w:bCs/>
          <w:sz w:val="20"/>
          <w:szCs w:val="20"/>
          <w:lang w:val="fr-FR"/>
        </w:rPr>
      </w:pPr>
      <w:r>
        <w:rPr>
          <w:rFonts w:hint="eastAsia" w:asciiTheme="minorEastAsia" w:hAnsiTheme="minorEastAsia" w:eastAsiaTheme="minorEastAsia" w:cstheme="minorEastAsia"/>
          <w:b/>
          <w:bCs/>
          <w:sz w:val="20"/>
          <w:szCs w:val="20"/>
          <w:lang w:val="fr-FR"/>
        </w:rPr>
        <w:drawing>
          <wp:inline distT="0" distB="0" distL="0" distR="0">
            <wp:extent cx="1050925" cy="1050925"/>
            <wp:effectExtent l="0" t="0" r="3175" b="3175"/>
            <wp:docPr id="17970062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06239"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inline>
        </w:drawing>
      </w:r>
    </w:p>
    <w:p w14:paraId="0D2870BC">
      <w:pPr>
        <w:spacing w:line="360" w:lineRule="auto"/>
        <w:jc w:val="both"/>
        <w:rPr>
          <w:rFonts w:hint="eastAsia" w:asciiTheme="minorEastAsia" w:hAnsiTheme="minorEastAsia" w:eastAsiaTheme="minorEastAsia" w:cstheme="minorEastAsia"/>
          <w:b w:val="0"/>
          <w:bCs w:val="0"/>
          <w:sz w:val="20"/>
          <w:szCs w:val="20"/>
          <w:lang w:val="en-US" w:eastAsia="zh-CN" w:bidi="ar-SA"/>
        </w:rPr>
      </w:pPr>
      <w:r>
        <w:rPr>
          <w:rFonts w:hint="eastAsia" w:asciiTheme="minorEastAsia" w:hAnsiTheme="minorEastAsia" w:eastAsiaTheme="minorEastAsia" w:cstheme="minorEastAsia"/>
          <w:b/>
          <w:bCs/>
          <w:sz w:val="20"/>
          <w:szCs w:val="20"/>
          <w:lang w:val="fr-FR"/>
        </w:rPr>
        <w:t>RUBIKA</w:t>
      </w:r>
      <w:r>
        <w:rPr>
          <w:rFonts w:hint="eastAsia" w:asciiTheme="minorEastAsia" w:hAnsiTheme="minorEastAsia" w:eastAsiaTheme="minorEastAsia" w:cstheme="minorEastAsia"/>
          <w:b/>
          <w:bCs/>
          <w:sz w:val="20"/>
          <w:szCs w:val="20"/>
          <w:lang w:val="en-US" w:eastAsia="zh-CN"/>
        </w:rPr>
        <w:t xml:space="preserve"> </w:t>
      </w:r>
      <w:r>
        <w:rPr>
          <w:rFonts w:hint="eastAsia" w:asciiTheme="minorEastAsia" w:hAnsiTheme="minorEastAsia" w:eastAsiaTheme="minorEastAsia" w:cstheme="minorEastAsia"/>
          <w:b/>
          <w:bCs/>
          <w:sz w:val="20"/>
          <w:szCs w:val="20"/>
        </w:rPr>
        <w:t>3D动画国际班教学负责人</w:t>
      </w:r>
      <w:r>
        <w:rPr>
          <w:rFonts w:hint="eastAsia" w:asciiTheme="minorEastAsia" w:hAnsiTheme="minorEastAsia" w:eastAsiaTheme="minorEastAsia" w:cstheme="minorEastAsia"/>
          <w:sz w:val="20"/>
          <w:szCs w:val="20"/>
        </w:rPr>
        <w:t>，拥有丰富的行业经验和深厚的教学背景</w:t>
      </w:r>
      <w:r>
        <w:rPr>
          <w:rFonts w:hint="eastAsia" w:asciiTheme="minorEastAsia" w:hAnsiTheme="minorEastAsia" w:eastAsiaTheme="minorEastAsia" w:cstheme="minorEastAsia"/>
          <w:sz w:val="20"/>
          <w:szCs w:val="20"/>
          <w:lang w:eastAsia="zh-CN"/>
        </w:rPr>
        <w:t>，</w:t>
      </w:r>
      <w:r>
        <w:rPr>
          <w:rFonts w:hint="eastAsia" w:asciiTheme="minorEastAsia" w:hAnsiTheme="minorEastAsia" w:eastAsiaTheme="minorEastAsia" w:cstheme="minorEastAsia"/>
          <w:b/>
          <w:bCs/>
          <w:sz w:val="20"/>
          <w:szCs w:val="20"/>
        </w:rPr>
        <w:t>曾参与多部国际知名动画项目的制作</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b w:val="0"/>
          <w:bCs w:val="0"/>
          <w:sz w:val="20"/>
          <w:szCs w:val="20"/>
        </w:rPr>
        <w:t>不仅注重培养学生的创作能力，还强调团队合作与跨学科的思维方式，帮助学生在实践中获得真实的工作经验。他</w:t>
      </w:r>
      <w:r>
        <w:rPr>
          <w:rFonts w:hint="eastAsia" w:asciiTheme="minorEastAsia" w:hAnsiTheme="minorEastAsia" w:eastAsiaTheme="minorEastAsia" w:cstheme="minorEastAsia"/>
          <w:sz w:val="20"/>
          <w:szCs w:val="20"/>
        </w:rPr>
        <w:t>的教学方法</w:t>
      </w:r>
      <w:r>
        <w:rPr>
          <w:rFonts w:hint="eastAsia" w:asciiTheme="minorEastAsia" w:hAnsiTheme="minorEastAsia" w:eastAsiaTheme="minorEastAsia" w:cstheme="minorEastAsia"/>
          <w:b/>
          <w:bCs/>
          <w:sz w:val="20"/>
          <w:szCs w:val="20"/>
        </w:rPr>
        <w:t>富有创意且具挑战性，通过结合实际项目和案例分析，激发学生的潜力</w:t>
      </w:r>
      <w:r>
        <w:rPr>
          <w:rFonts w:hint="eastAsia" w:asciiTheme="minorEastAsia" w:hAnsiTheme="minorEastAsia" w:eastAsiaTheme="minorEastAsia" w:cstheme="minorEastAsia"/>
          <w:sz w:val="20"/>
          <w:szCs w:val="20"/>
        </w:rPr>
        <w:t>，并帮助他们在动画及相关领域中取得优异成绩。</w:t>
      </w:r>
    </w:p>
    <w:p w14:paraId="465F55F2">
      <w:pPr>
        <w:pStyle w:val="3"/>
        <w:widowControl/>
        <w:numPr>
          <w:ilvl w:val="0"/>
          <w:numId w:val="2"/>
        </w:numPr>
        <w:spacing w:beforeAutospacing="0" w:afterAutospacing="0" w:line="360" w:lineRule="auto"/>
        <w:jc w:val="both"/>
        <w:rPr>
          <w:rFonts w:hint="eastAsia" w:asciiTheme="minorEastAsia" w:hAnsiTheme="minorEastAsia" w:eastAsiaTheme="minorEastAsia" w:cstheme="minorEastAsia"/>
          <w:sz w:val="20"/>
          <w:szCs w:val="20"/>
          <w:lang w:eastAsia="zh-CN"/>
        </w:rPr>
      </w:pPr>
      <w:r>
        <w:rPr>
          <w:rFonts w:hint="eastAsia" w:asciiTheme="minorEastAsia" w:hAnsiTheme="minorEastAsia" w:eastAsiaTheme="minorEastAsia" w:cstheme="minorEastAsia"/>
          <w:b/>
          <w:bCs/>
          <w:sz w:val="20"/>
          <w:szCs w:val="20"/>
          <w:lang w:bidi="ar"/>
        </w:rPr>
        <w:t>多元化的学习模式与实践机会</w:t>
      </w:r>
      <w:r>
        <w:rPr>
          <w:rFonts w:hint="eastAsia" w:asciiTheme="minorEastAsia" w:hAnsiTheme="minorEastAsia" w:eastAsiaTheme="minorEastAsia" w:cstheme="minorEastAsia"/>
          <w:b/>
          <w:bCs/>
          <w:sz w:val="20"/>
          <w:szCs w:val="20"/>
          <w:lang w:eastAsia="zh-CN" w:bidi="ar"/>
        </w:rPr>
        <w:t>：</w:t>
      </w:r>
      <w:r>
        <w:rPr>
          <w:rFonts w:hint="eastAsia" w:asciiTheme="minorEastAsia" w:hAnsiTheme="minorEastAsia" w:eastAsiaTheme="minorEastAsia" w:cstheme="minorEastAsia"/>
          <w:sz w:val="20"/>
          <w:szCs w:val="20"/>
          <w:lang w:bidi="ar"/>
        </w:rPr>
        <w:t>学</w:t>
      </w:r>
      <w:r>
        <w:rPr>
          <w:rFonts w:hint="eastAsia" w:asciiTheme="minorEastAsia" w:hAnsiTheme="minorEastAsia" w:eastAsiaTheme="minorEastAsia" w:cstheme="minorEastAsia"/>
          <w:sz w:val="20"/>
          <w:szCs w:val="20"/>
          <w:lang w:val="en-US" w:eastAsia="zh-CN" w:bidi="ar"/>
        </w:rPr>
        <w:t>校</w:t>
      </w:r>
      <w:r>
        <w:rPr>
          <w:rFonts w:hint="eastAsia" w:asciiTheme="minorEastAsia" w:hAnsiTheme="minorEastAsia" w:eastAsiaTheme="minorEastAsia" w:cstheme="minorEastAsia"/>
          <w:sz w:val="20"/>
          <w:szCs w:val="20"/>
          <w:lang w:bidi="ar"/>
        </w:rPr>
        <w:t>强调理论与实践结合，</w:t>
      </w:r>
      <w:r>
        <w:rPr>
          <w:rFonts w:hint="eastAsia" w:asciiTheme="minorEastAsia" w:hAnsiTheme="minorEastAsia" w:eastAsiaTheme="minorEastAsia" w:cstheme="minorEastAsia"/>
          <w:sz w:val="20"/>
          <w:szCs w:val="20"/>
          <w:lang w:val="en-US" w:eastAsia="zh-CN" w:bidi="ar"/>
        </w:rPr>
        <w:t>平衡文化、艺术与技术，</w:t>
      </w:r>
      <w:r>
        <w:rPr>
          <w:rFonts w:hint="eastAsia" w:asciiTheme="minorEastAsia" w:hAnsiTheme="minorEastAsia" w:eastAsiaTheme="minorEastAsia" w:cstheme="minorEastAsia"/>
          <w:sz w:val="20"/>
          <w:szCs w:val="20"/>
          <w:lang w:bidi="ar"/>
        </w:rPr>
        <w:t>在日常专业课程之外，积极开设工坊、讲座、设计工作室探访等专题内容</w:t>
      </w:r>
      <w:r>
        <w:rPr>
          <w:rFonts w:hint="eastAsia" w:asciiTheme="minorEastAsia" w:hAnsiTheme="minorEastAsia" w:eastAsiaTheme="minorEastAsia" w:cstheme="minorEastAsia"/>
          <w:sz w:val="20"/>
          <w:szCs w:val="20"/>
          <w:lang w:eastAsia="zh-CN" w:bidi="ar"/>
        </w:rPr>
        <w:t>，</w:t>
      </w:r>
      <w:r>
        <w:rPr>
          <w:rFonts w:hint="eastAsia" w:asciiTheme="minorEastAsia" w:hAnsiTheme="minorEastAsia" w:eastAsiaTheme="minorEastAsia" w:cstheme="minorEastAsia"/>
          <w:sz w:val="20"/>
          <w:szCs w:val="20"/>
          <w:lang w:val="en-US" w:eastAsia="zh-CN" w:bidi="ar"/>
        </w:rPr>
        <w:t>教学内容紧跟文化发展与技术更新，并开设管理类相关课程丰富学生职业发展技能</w:t>
      </w:r>
      <w:r>
        <w:rPr>
          <w:rFonts w:hint="eastAsia" w:asciiTheme="minorEastAsia" w:hAnsiTheme="minorEastAsia" w:eastAsiaTheme="minorEastAsia" w:cstheme="minorEastAsia"/>
          <w:sz w:val="20"/>
          <w:szCs w:val="20"/>
          <w:lang w:bidi="ar"/>
        </w:rPr>
        <w:t>。学生可以深入体验法国院校项目制学习模式，同时还有机会参与校企项目实践机会，全方位提升实践应用能力。</w:t>
      </w:r>
    </w:p>
    <w:p w14:paraId="23B7CE0E">
      <w:pPr>
        <w:numPr>
          <w:ilvl w:val="0"/>
          <w:numId w:val="2"/>
        </w:numPr>
        <w:spacing w:line="360" w:lineRule="auto"/>
        <w:ind w:left="0" w:leftChars="0" w:firstLine="0" w:firstLineChars="0"/>
        <w:rPr>
          <w:rFonts w:hint="eastAsia" w:asciiTheme="minorEastAsia" w:hAnsiTheme="minorEastAsia" w:eastAsiaTheme="minorEastAsia" w:cstheme="minorEastAsia"/>
          <w:sz w:val="20"/>
          <w:szCs w:val="20"/>
          <w:lang w:val="en-US" w:eastAsia="zh-CN" w:bidi="ar"/>
        </w:rPr>
      </w:pPr>
      <w:r>
        <w:rPr>
          <w:rFonts w:hint="eastAsia" w:asciiTheme="minorEastAsia" w:hAnsiTheme="minorEastAsia" w:eastAsiaTheme="minorEastAsia" w:cstheme="minorEastAsia"/>
          <w:b/>
          <w:bCs/>
          <w:sz w:val="20"/>
          <w:szCs w:val="20"/>
          <w:lang w:bidi="ar"/>
        </w:rPr>
        <w:t>学</w:t>
      </w:r>
      <w:r>
        <w:rPr>
          <w:rFonts w:hint="eastAsia" w:asciiTheme="minorEastAsia" w:hAnsiTheme="minorEastAsia" w:eastAsiaTheme="minorEastAsia" w:cstheme="minorEastAsia"/>
          <w:b/>
          <w:bCs/>
          <w:sz w:val="20"/>
          <w:szCs w:val="20"/>
          <w:lang w:val="en-US" w:eastAsia="zh-CN" w:bidi="ar"/>
        </w:rPr>
        <w:t>分</w:t>
      </w:r>
      <w:r>
        <w:rPr>
          <w:rFonts w:hint="eastAsia" w:asciiTheme="minorEastAsia" w:hAnsiTheme="minorEastAsia" w:eastAsiaTheme="minorEastAsia" w:cstheme="minorEastAsia"/>
          <w:b/>
          <w:bCs/>
          <w:sz w:val="20"/>
          <w:szCs w:val="20"/>
          <w:lang w:bidi="ar"/>
        </w:rPr>
        <w:t>认证与背景提升</w:t>
      </w:r>
      <w:r>
        <w:rPr>
          <w:rFonts w:hint="eastAsia" w:asciiTheme="minorEastAsia" w:hAnsiTheme="minorEastAsia" w:eastAsiaTheme="minorEastAsia" w:cstheme="minorEastAsia"/>
          <w:b/>
          <w:bCs/>
          <w:sz w:val="20"/>
          <w:szCs w:val="20"/>
          <w:lang w:eastAsia="zh-CN" w:bidi="ar"/>
        </w:rPr>
        <w:t>：</w:t>
      </w:r>
      <w:r>
        <w:rPr>
          <w:rFonts w:hint="default" w:ascii="Times New Roman" w:hAnsi="Times New Roman" w:cs="Times New Roman"/>
          <w:sz w:val="20"/>
          <w:szCs w:val="20"/>
          <w:lang w:val="en-US" w:eastAsia="zh-CN"/>
        </w:rPr>
        <w:t>学期交流项目可获得</w:t>
      </w:r>
      <w:r>
        <w:rPr>
          <w:rFonts w:hint="eastAsia" w:asciiTheme="minorEastAsia" w:hAnsiTheme="minorEastAsia" w:eastAsiaTheme="minorEastAsia" w:cstheme="minorEastAsia"/>
          <w:sz w:val="20"/>
          <w:szCs w:val="20"/>
          <w:lang w:bidi="ar"/>
        </w:rPr>
        <w:t>法国卢比卡设计与游戏动画学院</w:t>
      </w:r>
      <w:r>
        <w:rPr>
          <w:rFonts w:hint="default" w:ascii="Times New Roman" w:hAnsi="Times New Roman" w:cs="Times New Roman"/>
          <w:b/>
          <w:bCs/>
          <w:sz w:val="20"/>
          <w:szCs w:val="20"/>
          <w:lang w:val="en-US" w:eastAsia="zh-CN"/>
        </w:rPr>
        <w:t>官方学习证明</w:t>
      </w:r>
      <w:r>
        <w:rPr>
          <w:rFonts w:hint="default" w:ascii="Times New Roman" w:hAnsi="Times New Roman" w:cs="Times New Roman"/>
          <w:sz w:val="20"/>
          <w:szCs w:val="20"/>
          <w:lang w:val="en-US" w:eastAsia="zh-CN"/>
        </w:rPr>
        <w:t>，学分可认证，优秀学生可获推荐信，助力背景提升、学历申请与职业发展。</w:t>
      </w:r>
    </w:p>
    <w:p w14:paraId="5F90CD4E">
      <w:pPr>
        <w:numPr>
          <w:ilvl w:val="0"/>
          <w:numId w:val="2"/>
        </w:numPr>
        <w:spacing w:line="360" w:lineRule="auto"/>
        <w:ind w:left="0" w:leftChars="0" w:firstLine="0" w:firstLineChars="0"/>
        <w:jc w:val="both"/>
        <w:rPr>
          <w:rFonts w:hint="default"/>
          <w:sz w:val="20"/>
          <w:szCs w:val="20"/>
          <w:lang w:val="en-US" w:eastAsia="zh-CN"/>
        </w:rPr>
      </w:pPr>
      <w:r>
        <w:rPr>
          <w:rFonts w:hint="default" w:ascii="Times New Roman" w:hAnsi="Times New Roman" w:cs="Times New Roman"/>
          <w:b/>
          <w:bCs/>
          <w:sz w:val="20"/>
          <w:szCs w:val="20"/>
          <w:lang w:val="en-US" w:eastAsia="zh-CN"/>
        </w:rPr>
        <w:t>艺术创意人才的摇篮：</w:t>
      </w:r>
      <w:r>
        <w:rPr>
          <w:rFonts w:hint="default" w:ascii="Times New Roman" w:hAnsi="Times New Roman" w:cs="Times New Roman"/>
          <w:sz w:val="20"/>
          <w:szCs w:val="20"/>
          <w:lang w:val="en-US" w:eastAsia="zh-CN"/>
        </w:rPr>
        <w:t>法国坐拥</w:t>
      </w:r>
      <w:r>
        <w:rPr>
          <w:rFonts w:hint="default" w:ascii="Times New Roman" w:hAnsi="Times New Roman" w:cs="Times New Roman"/>
          <w:b/>
          <w:bCs/>
          <w:sz w:val="20"/>
          <w:szCs w:val="20"/>
          <w:lang w:val="en-US" w:eastAsia="zh-CN"/>
        </w:rPr>
        <w:t>1万</w:t>
      </w:r>
      <w:r>
        <w:rPr>
          <w:rFonts w:hint="default" w:ascii="Times New Roman" w:hAnsi="Times New Roman" w:cs="Times New Roman"/>
          <w:sz w:val="20"/>
          <w:szCs w:val="20"/>
          <w:lang w:val="en-US" w:eastAsia="zh-CN"/>
        </w:rPr>
        <w:t>家艺术机构、</w:t>
      </w:r>
      <w:r>
        <w:rPr>
          <w:rFonts w:hint="default" w:ascii="Times New Roman" w:hAnsi="Times New Roman" w:cs="Times New Roman"/>
          <w:b/>
          <w:bCs/>
          <w:sz w:val="20"/>
          <w:szCs w:val="20"/>
          <w:lang w:val="en-US" w:eastAsia="zh-CN"/>
        </w:rPr>
        <w:t>45万</w:t>
      </w:r>
      <w:r>
        <w:rPr>
          <w:rFonts w:hint="default" w:ascii="Times New Roman" w:hAnsi="Times New Roman" w:cs="Times New Roman"/>
          <w:sz w:val="20"/>
          <w:szCs w:val="20"/>
          <w:lang w:val="en-US" w:eastAsia="zh-CN"/>
        </w:rPr>
        <w:t>文化从业者、</w:t>
      </w:r>
      <w:r>
        <w:rPr>
          <w:rFonts w:hint="default" w:ascii="Times New Roman" w:hAnsi="Times New Roman" w:cs="Times New Roman"/>
          <w:b/>
          <w:bCs/>
          <w:sz w:val="20"/>
          <w:szCs w:val="20"/>
          <w:lang w:val="en-US" w:eastAsia="zh-CN"/>
        </w:rPr>
        <w:t>千场</w:t>
      </w:r>
      <w:r>
        <w:rPr>
          <w:rFonts w:hint="default" w:ascii="Times New Roman" w:hAnsi="Times New Roman" w:cs="Times New Roman"/>
          <w:sz w:val="20"/>
          <w:szCs w:val="20"/>
          <w:lang w:val="en-US" w:eastAsia="zh-CN"/>
        </w:rPr>
        <w:t>年度国际艺术盛事；诸多世界知名企业（时尚、设计、建筑、新技术及艺术类等）均源起于法国。在这里，学生既能汲取传统艺术养分，又能参与前沿创作，在跨文化交流中拓展艺术视野与职业可能。</w:t>
      </w:r>
    </w:p>
    <w:bookmarkEnd w:id="0"/>
    <w:p w14:paraId="56B74477">
      <w:pPr>
        <w:spacing w:line="360" w:lineRule="auto"/>
        <w:rPr>
          <w:rFonts w:hint="eastAsia" w:ascii="仿宋" w:hAnsi="仿宋" w:eastAsia="仿宋" w:cs="仿宋"/>
          <w:sz w:val="21"/>
          <w:szCs w:val="21"/>
        </w:rPr>
      </w:pPr>
    </w:p>
    <w:p w14:paraId="3E452239">
      <w:pPr>
        <w:pStyle w:val="3"/>
        <w:widowControl/>
        <w:numPr>
          <w:ilvl w:val="0"/>
          <w:numId w:val="0"/>
        </w:numPr>
        <w:spacing w:beforeAutospacing="0" w:afterAutospacing="0" w:line="360" w:lineRule="auto"/>
        <w:jc w:val="both"/>
        <w:rPr>
          <w:rFonts w:hint="eastAsia" w:asciiTheme="minorEastAsia" w:hAnsiTheme="minorEastAsia" w:eastAsiaTheme="minorEastAsia" w:cstheme="minorEastAsia"/>
          <w:b/>
          <w:bCs/>
          <w:sz w:val="20"/>
          <w:szCs w:val="20"/>
          <w:lang w:bidi="ar"/>
        </w:rPr>
      </w:pPr>
      <w:r>
        <w:rPr>
          <w:rFonts w:hint="eastAsia" w:asciiTheme="minorEastAsia" w:hAnsiTheme="minorEastAsia" w:eastAsiaTheme="minorEastAsia" w:cstheme="minorEastAsia"/>
          <w:b/>
          <w:bCs/>
          <w:sz w:val="20"/>
          <w:szCs w:val="20"/>
          <w:lang w:val="en-US" w:eastAsia="zh-CN" w:bidi="ar"/>
        </w:rPr>
        <w:t>四、</w:t>
      </w:r>
      <w:r>
        <w:rPr>
          <w:rFonts w:hint="eastAsia" w:asciiTheme="minorEastAsia" w:hAnsiTheme="minorEastAsia" w:eastAsiaTheme="minorEastAsia" w:cstheme="minorEastAsia"/>
          <w:b/>
          <w:bCs/>
          <w:sz w:val="20"/>
          <w:szCs w:val="20"/>
          <w:lang w:bidi="ar"/>
        </w:rPr>
        <w:t>项目咨询</w:t>
      </w:r>
    </w:p>
    <w:p w14:paraId="7BFCE803">
      <w:pPr>
        <w:pStyle w:val="3"/>
        <w:widowControl/>
        <w:numPr>
          <w:ilvl w:val="0"/>
          <w:numId w:val="0"/>
        </w:numPr>
        <w:spacing w:beforeAutospacing="0" w:afterAutospacing="0" w:line="360" w:lineRule="auto"/>
        <w:jc w:val="both"/>
        <w:rPr>
          <w:rFonts w:hint="default" w:ascii="Times New Roman" w:hAnsi="Times New Roman" w:cs="Times New Roman"/>
          <w:sz w:val="20"/>
          <w:szCs w:val="20"/>
          <w:lang w:val="en-US" w:eastAsia="zh-CN"/>
        </w:rPr>
      </w:pPr>
      <w:r>
        <w:rPr>
          <w:rFonts w:hint="eastAsia" w:cstheme="minorBidi"/>
          <w:kern w:val="2"/>
          <w:sz w:val="20"/>
          <w:szCs w:val="20"/>
          <w:lang w:val="en-US" w:eastAsia="zh-CN" w:bidi="ar-SA"/>
        </w:rPr>
        <w:t>1</w:t>
      </w:r>
      <w:r>
        <w:rPr>
          <w:rFonts w:hint="default" w:asciiTheme="minorHAnsi" w:hAnsiTheme="minorHAnsi" w:eastAsiaTheme="minorEastAsia" w:cstheme="minorBidi"/>
          <w:kern w:val="2"/>
          <w:sz w:val="20"/>
          <w:szCs w:val="20"/>
          <w:lang w:val="en-US" w:eastAsia="zh-CN" w:bidi="ar-SA"/>
        </w:rPr>
        <w:t xml:space="preserve">. </w:t>
      </w:r>
      <w:r>
        <w:rPr>
          <w:rFonts w:hint="default"/>
          <w:sz w:val="20"/>
          <w:szCs w:val="20"/>
          <w:lang w:val="en-US" w:eastAsia="zh-CN"/>
        </w:rPr>
        <w:t>学生联系法国校方</w:t>
      </w:r>
      <w:r>
        <w:rPr>
          <w:rFonts w:hint="eastAsia" w:ascii="Times New Roman" w:hAnsi="Times New Roman" w:cs="Times New Roman"/>
          <w:sz w:val="20"/>
          <w:szCs w:val="20"/>
          <w:lang w:val="en-US" w:eastAsia="zh-CN"/>
        </w:rPr>
        <w:t>李</w:t>
      </w:r>
      <w:r>
        <w:rPr>
          <w:rFonts w:hint="default" w:ascii="Times New Roman" w:hAnsi="Times New Roman" w:cs="Times New Roman"/>
          <w:sz w:val="20"/>
          <w:szCs w:val="20"/>
          <w:lang w:val="en-US" w:eastAsia="zh-CN"/>
        </w:rPr>
        <w:t xml:space="preserve">老师 </w:t>
      </w:r>
      <w:r>
        <w:rPr>
          <w:rFonts w:hint="eastAsia" w:ascii="Times New Roman" w:hAnsi="Times New Roman" w:cs="Times New Roman"/>
          <w:sz w:val="20"/>
          <w:szCs w:val="20"/>
          <w:lang w:val="en-US" w:eastAsia="zh-CN"/>
        </w:rPr>
        <w:t>131 6716 1019咨询相关项目，获得上海理工大学出版学院推荐选拔资格后，</w:t>
      </w:r>
      <w:r>
        <w:rPr>
          <w:rFonts w:hint="default"/>
          <w:sz w:val="20"/>
          <w:szCs w:val="20"/>
          <w:lang w:val="en-US" w:eastAsia="zh-CN"/>
        </w:rPr>
        <w:t>即为报名申请流程启动</w:t>
      </w:r>
      <w:r>
        <w:rPr>
          <w:rFonts w:hint="eastAsia"/>
          <w:sz w:val="20"/>
          <w:szCs w:val="20"/>
          <w:lang w:val="en-US" w:eastAsia="zh-CN"/>
        </w:rPr>
        <w:t>。同步</w:t>
      </w:r>
      <w:r>
        <w:rPr>
          <w:rFonts w:hint="default"/>
          <w:sz w:val="20"/>
          <w:szCs w:val="20"/>
          <w:lang w:val="en-US" w:eastAsia="zh-CN"/>
        </w:rPr>
        <w:t>准备相关项目材料（如个别材料暂无，可与老师沟通分批次提交）</w:t>
      </w:r>
      <w:r>
        <w:rPr>
          <w:rFonts w:hint="eastAsia"/>
          <w:sz w:val="20"/>
          <w:szCs w:val="20"/>
          <w:lang w:val="en-US" w:eastAsia="zh-CN"/>
        </w:rPr>
        <w:t>，</w:t>
      </w:r>
      <w:r>
        <w:rPr>
          <w:rFonts w:hint="default"/>
          <w:sz w:val="20"/>
          <w:szCs w:val="20"/>
          <w:lang w:val="en-US" w:eastAsia="zh-CN"/>
        </w:rPr>
        <w:t>所有材料请于截止日期前以电子版形式发送至邮箱</w:t>
      </w:r>
      <w:r>
        <w:rPr>
          <w:rFonts w:hint="eastAsia"/>
          <w:sz w:val="20"/>
          <w:szCs w:val="20"/>
          <w:lang w:val="en-US" w:eastAsia="zh-CN"/>
        </w:rPr>
        <w:t>：</w:t>
      </w:r>
      <w:r>
        <w:rPr>
          <w:rFonts w:hint="default" w:ascii="Times New Roman" w:hAnsi="Times New Roman" w:cs="Times New Roman"/>
          <w:sz w:val="20"/>
          <w:szCs w:val="20"/>
          <w:lang w:val="en-US" w:eastAsia="zh-CN"/>
        </w:rPr>
        <w:fldChar w:fldCharType="begin"/>
      </w:r>
      <w:r>
        <w:rPr>
          <w:rFonts w:hint="default" w:ascii="Times New Roman" w:hAnsi="Times New Roman" w:cs="Times New Roman"/>
          <w:sz w:val="20"/>
          <w:szCs w:val="20"/>
          <w:lang w:val="en-US" w:eastAsia="zh-CN"/>
        </w:rPr>
        <w:instrText xml:space="preserve"> HYPERLINK "mailto:china-office@rubika-edu.com" </w:instrText>
      </w:r>
      <w:r>
        <w:rPr>
          <w:rFonts w:hint="default" w:ascii="Times New Roman" w:hAnsi="Times New Roman" w:cs="Times New Roman"/>
          <w:sz w:val="20"/>
          <w:szCs w:val="20"/>
          <w:lang w:val="en-US" w:eastAsia="zh-CN"/>
        </w:rPr>
        <w:fldChar w:fldCharType="separate"/>
      </w:r>
      <w:r>
        <w:rPr>
          <w:rFonts w:hint="default" w:ascii="Times New Roman" w:hAnsi="Times New Roman" w:cs="Times New Roman"/>
          <w:sz w:val="20"/>
          <w:szCs w:val="20"/>
          <w:lang w:val="en-US" w:eastAsia="zh-CN"/>
        </w:rPr>
        <w:t>china-office@rubika-edu.com</w:t>
      </w:r>
      <w:r>
        <w:rPr>
          <w:rFonts w:hint="default" w:ascii="Times New Roman" w:hAnsi="Times New Roman" w:cs="Times New Roman"/>
          <w:sz w:val="20"/>
          <w:szCs w:val="20"/>
          <w:lang w:val="en-US" w:eastAsia="zh-CN"/>
        </w:rPr>
        <w:fldChar w:fldCharType="end"/>
      </w:r>
    </w:p>
    <w:p w14:paraId="682E8A80">
      <w:pPr>
        <w:pStyle w:val="3"/>
        <w:widowControl/>
        <w:numPr>
          <w:ilvl w:val="0"/>
          <w:numId w:val="0"/>
        </w:numPr>
        <w:spacing w:beforeAutospacing="0" w:afterAutospacing="0" w:line="360" w:lineRule="auto"/>
        <w:jc w:val="both"/>
        <w:rPr>
          <w:rFonts w:hint="default" w:asciiTheme="minorHAnsi" w:hAnsiTheme="minorHAnsi" w:eastAsiaTheme="minorEastAsia" w:cstheme="minorBidi"/>
          <w:kern w:val="2"/>
          <w:sz w:val="20"/>
          <w:szCs w:val="20"/>
          <w:lang w:val="en-US" w:eastAsia="zh-CN" w:bidi="ar-SA"/>
        </w:rPr>
      </w:pPr>
      <w:r>
        <w:rPr>
          <w:rFonts w:hint="eastAsia" w:cstheme="minorBidi"/>
          <w:kern w:val="2"/>
          <w:sz w:val="20"/>
          <w:szCs w:val="20"/>
          <w:lang w:val="en-US" w:eastAsia="zh-CN" w:bidi="ar-SA"/>
        </w:rPr>
        <w:t>2</w:t>
      </w:r>
      <w:r>
        <w:rPr>
          <w:rFonts w:hint="default" w:asciiTheme="minorHAnsi" w:hAnsiTheme="minorHAnsi" w:eastAsiaTheme="minorEastAsia" w:cstheme="minorBidi"/>
          <w:kern w:val="2"/>
          <w:sz w:val="20"/>
          <w:szCs w:val="20"/>
          <w:lang w:val="en-US" w:eastAsia="zh-CN" w:bidi="ar-SA"/>
        </w:rPr>
        <w:t>. 学生申请资料经初步审核后，达到要求者参加面试，顺利获得法国学校录取通知书及法国签证后赴法学习。</w:t>
      </w:r>
    </w:p>
    <w:p w14:paraId="599140B5">
      <w:pPr>
        <w:widowControl w:val="0"/>
        <w:numPr>
          <w:ilvl w:val="0"/>
          <w:numId w:val="0"/>
        </w:numPr>
        <w:spacing w:line="360" w:lineRule="auto"/>
        <w:ind w:leftChars="0"/>
        <w:jc w:val="both"/>
        <w:rPr>
          <w:rFonts w:hint="eastAsia" w:asciiTheme="minorEastAsia" w:hAnsiTheme="minorEastAsia" w:eastAsiaTheme="minorEastAsia" w:cstheme="minorEastAsia"/>
          <w:sz w:val="20"/>
          <w:szCs w:val="20"/>
          <w:lang w:eastAsia="zh-CN"/>
        </w:rPr>
      </w:pPr>
      <w:r>
        <w:rPr>
          <w:rFonts w:hint="eastAsia" w:ascii="Times New Roman" w:hAnsi="Times New Roman" w:cs="Times New Roman"/>
          <w:sz w:val="20"/>
          <w:szCs w:val="20"/>
          <w:lang w:val="en-US" w:eastAsia="zh-CN"/>
        </w:rPr>
        <w:t>* 请有意向的学生第一时间联络，并及时办理护照。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1"/>
      <w:docPartObj>
        <w:docPartGallery w:val="autotext"/>
      </w:docPartObj>
    </w:sdtPr>
    <w:sdtEndPr>
      <w:rPr>
        <w:rStyle w:val="8"/>
      </w:rPr>
    </w:sdtEndPr>
    <w:sdtContent>
      <w:p w14:paraId="241662D1">
        <w:pPr>
          <w:pStyle w:val="2"/>
          <w:framePr w:wrap="auto" w:vAnchor="text" w:hAnchor="margin" w:xAlign="center" w:y="1"/>
          <w:rPr>
            <w:rStyle w:val="8"/>
          </w:rPr>
        </w:pPr>
        <w:r>
          <w:rPr>
            <w:rStyle w:val="8"/>
          </w:rPr>
          <w:fldChar w:fldCharType="begin"/>
        </w:r>
        <w:r>
          <w:rPr>
            <w:rStyle w:val="8"/>
          </w:rPr>
          <w:instrText xml:space="preserve"> PAGE </w:instrText>
        </w:r>
        <w:r>
          <w:rPr>
            <w:rStyle w:val="8"/>
          </w:rPr>
          <w:fldChar w:fldCharType="separate"/>
        </w:r>
        <w:r>
          <w:rPr>
            <w:rStyle w:val="8"/>
          </w:rPr>
          <w:t>1</w:t>
        </w:r>
        <w:r>
          <w:rPr>
            <w:rStyle w:val="8"/>
          </w:rPr>
          <w:fldChar w:fldCharType="end"/>
        </w:r>
      </w:p>
    </w:sdtContent>
  </w:sdt>
  <w:p w14:paraId="39CA61CA">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142534235"/>
      <w:docPartObj>
        <w:docPartGallery w:val="autotext"/>
      </w:docPartObj>
    </w:sdtPr>
    <w:sdtEndPr>
      <w:rPr>
        <w:rStyle w:val="8"/>
      </w:rPr>
    </w:sdtEndPr>
    <w:sdtContent>
      <w:p w14:paraId="7D9FAD44">
        <w:pPr>
          <w:pStyle w:val="2"/>
          <w:framePr w:wrap="auto" w:vAnchor="text" w:hAnchor="margin" w:xAlign="center" w:y="1"/>
          <w:rPr>
            <w:rStyle w:val="8"/>
          </w:rPr>
        </w:pPr>
        <w:r>
          <w:rPr>
            <w:rStyle w:val="8"/>
          </w:rPr>
          <w:fldChar w:fldCharType="begin"/>
        </w:r>
        <w:r>
          <w:rPr>
            <w:rStyle w:val="8"/>
          </w:rPr>
          <w:instrText xml:space="preserve"> PAGE </w:instrText>
        </w:r>
        <w:r>
          <w:rPr>
            <w:rStyle w:val="8"/>
          </w:rPr>
          <w:fldChar w:fldCharType="end"/>
        </w:r>
      </w:p>
    </w:sdtContent>
  </w:sdt>
  <w:p w14:paraId="01323173">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790AD"/>
    <w:multiLevelType w:val="singleLevel"/>
    <w:tmpl w:val="801790AD"/>
    <w:lvl w:ilvl="0" w:tentative="0">
      <w:start w:val="1"/>
      <w:numFmt w:val="decimal"/>
      <w:suff w:val="space"/>
      <w:lvlText w:val="%1."/>
      <w:lvlJc w:val="left"/>
      <w:pPr>
        <w:ind w:left="0" w:firstLine="0"/>
      </w:pPr>
      <w:rPr>
        <w:rFonts w:hint="default"/>
        <w:b/>
        <w:bCs/>
      </w:rPr>
    </w:lvl>
  </w:abstractNum>
  <w:abstractNum w:abstractNumId="1">
    <w:nsid w:val="D30AAD12"/>
    <w:multiLevelType w:val="singleLevel"/>
    <w:tmpl w:val="D30AAD12"/>
    <w:lvl w:ilvl="0" w:tentative="0">
      <w:start w:val="1"/>
      <w:numFmt w:val="decimal"/>
      <w:suff w:val="space"/>
      <w:lvlText w:val="%1."/>
      <w:lvlJc w:val="left"/>
      <w:rPr>
        <w:rFonts w:hint="default" w:ascii="Times New Roman" w:hAnsi="Times New Roman" w:cs="Times New Roman"/>
        <w:b/>
        <w:bCs/>
        <w:sz w:val="21"/>
        <w:szCs w:val="21"/>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ZjlkOGIyMTE1Y2FmMjFiMTg3ZDEyNDE1M2YyNTYifQ=="/>
  </w:docVars>
  <w:rsids>
    <w:rsidRoot w:val="6A810E27"/>
    <w:rsid w:val="000138E1"/>
    <w:rsid w:val="00032BE0"/>
    <w:rsid w:val="00033E43"/>
    <w:rsid w:val="00055652"/>
    <w:rsid w:val="00070702"/>
    <w:rsid w:val="00081B0D"/>
    <w:rsid w:val="000B1204"/>
    <w:rsid w:val="000F1294"/>
    <w:rsid w:val="00106A0F"/>
    <w:rsid w:val="001264B0"/>
    <w:rsid w:val="00150618"/>
    <w:rsid w:val="0015216E"/>
    <w:rsid w:val="0018470A"/>
    <w:rsid w:val="00194FC7"/>
    <w:rsid w:val="001B6417"/>
    <w:rsid w:val="001C5D62"/>
    <w:rsid w:val="001F2198"/>
    <w:rsid w:val="001F2CC9"/>
    <w:rsid w:val="00204D2D"/>
    <w:rsid w:val="00247011"/>
    <w:rsid w:val="00250F1E"/>
    <w:rsid w:val="00256B8D"/>
    <w:rsid w:val="002A6483"/>
    <w:rsid w:val="002B6D8E"/>
    <w:rsid w:val="002D5466"/>
    <w:rsid w:val="002F071B"/>
    <w:rsid w:val="002F4F59"/>
    <w:rsid w:val="00314793"/>
    <w:rsid w:val="00330CA5"/>
    <w:rsid w:val="00344974"/>
    <w:rsid w:val="00351DBC"/>
    <w:rsid w:val="00365B69"/>
    <w:rsid w:val="003671BA"/>
    <w:rsid w:val="0038255F"/>
    <w:rsid w:val="003A0304"/>
    <w:rsid w:val="003A1C12"/>
    <w:rsid w:val="003F3DD1"/>
    <w:rsid w:val="003F7198"/>
    <w:rsid w:val="004233DD"/>
    <w:rsid w:val="00455F7E"/>
    <w:rsid w:val="0046556D"/>
    <w:rsid w:val="004D18DC"/>
    <w:rsid w:val="005017E3"/>
    <w:rsid w:val="00511326"/>
    <w:rsid w:val="0053727A"/>
    <w:rsid w:val="005426AC"/>
    <w:rsid w:val="0055623A"/>
    <w:rsid w:val="00576752"/>
    <w:rsid w:val="00584D2A"/>
    <w:rsid w:val="005C3EAE"/>
    <w:rsid w:val="006048A5"/>
    <w:rsid w:val="006107DC"/>
    <w:rsid w:val="00622845"/>
    <w:rsid w:val="00624DFC"/>
    <w:rsid w:val="0062659D"/>
    <w:rsid w:val="0065174F"/>
    <w:rsid w:val="00656233"/>
    <w:rsid w:val="00683B7B"/>
    <w:rsid w:val="006D36A0"/>
    <w:rsid w:val="006D3DE8"/>
    <w:rsid w:val="006E13C5"/>
    <w:rsid w:val="006F5DB2"/>
    <w:rsid w:val="00705ADF"/>
    <w:rsid w:val="007271C0"/>
    <w:rsid w:val="00727931"/>
    <w:rsid w:val="007331A2"/>
    <w:rsid w:val="0075562F"/>
    <w:rsid w:val="007649D5"/>
    <w:rsid w:val="00775D1D"/>
    <w:rsid w:val="00780483"/>
    <w:rsid w:val="00790C72"/>
    <w:rsid w:val="00791E4C"/>
    <w:rsid w:val="00797479"/>
    <w:rsid w:val="007A6B0B"/>
    <w:rsid w:val="007E4937"/>
    <w:rsid w:val="007F34C6"/>
    <w:rsid w:val="007F46CF"/>
    <w:rsid w:val="0081375B"/>
    <w:rsid w:val="00820164"/>
    <w:rsid w:val="00835559"/>
    <w:rsid w:val="00860729"/>
    <w:rsid w:val="008640FF"/>
    <w:rsid w:val="00867B5C"/>
    <w:rsid w:val="00874ACE"/>
    <w:rsid w:val="00883F26"/>
    <w:rsid w:val="008C53EF"/>
    <w:rsid w:val="008D284B"/>
    <w:rsid w:val="008E11B9"/>
    <w:rsid w:val="008F0501"/>
    <w:rsid w:val="009006AE"/>
    <w:rsid w:val="009747B1"/>
    <w:rsid w:val="00990FE9"/>
    <w:rsid w:val="009918F3"/>
    <w:rsid w:val="009A3A64"/>
    <w:rsid w:val="009C6CD6"/>
    <w:rsid w:val="009F15F1"/>
    <w:rsid w:val="00A70FA8"/>
    <w:rsid w:val="00A85E41"/>
    <w:rsid w:val="00A93902"/>
    <w:rsid w:val="00AA3852"/>
    <w:rsid w:val="00AB0602"/>
    <w:rsid w:val="00AE18EE"/>
    <w:rsid w:val="00AF4CFE"/>
    <w:rsid w:val="00B141C7"/>
    <w:rsid w:val="00B336AD"/>
    <w:rsid w:val="00B33D50"/>
    <w:rsid w:val="00B351C0"/>
    <w:rsid w:val="00B44C66"/>
    <w:rsid w:val="00B55167"/>
    <w:rsid w:val="00B635C0"/>
    <w:rsid w:val="00B94AD5"/>
    <w:rsid w:val="00C045EB"/>
    <w:rsid w:val="00C12CB5"/>
    <w:rsid w:val="00C3760A"/>
    <w:rsid w:val="00C42D1D"/>
    <w:rsid w:val="00C878FB"/>
    <w:rsid w:val="00CD05DD"/>
    <w:rsid w:val="00CD2BDC"/>
    <w:rsid w:val="00CE49BE"/>
    <w:rsid w:val="00CF049B"/>
    <w:rsid w:val="00CF0F50"/>
    <w:rsid w:val="00CF2FE8"/>
    <w:rsid w:val="00CF3C73"/>
    <w:rsid w:val="00D015CF"/>
    <w:rsid w:val="00D12956"/>
    <w:rsid w:val="00D12FF4"/>
    <w:rsid w:val="00D23980"/>
    <w:rsid w:val="00D266FA"/>
    <w:rsid w:val="00D32C96"/>
    <w:rsid w:val="00D341FB"/>
    <w:rsid w:val="00D52EAA"/>
    <w:rsid w:val="00D55AB7"/>
    <w:rsid w:val="00D67DD1"/>
    <w:rsid w:val="00D803FC"/>
    <w:rsid w:val="00D82CD8"/>
    <w:rsid w:val="00D93469"/>
    <w:rsid w:val="00D93C11"/>
    <w:rsid w:val="00DA6DA5"/>
    <w:rsid w:val="00DB21B2"/>
    <w:rsid w:val="00DD7741"/>
    <w:rsid w:val="00DE1E93"/>
    <w:rsid w:val="00E10236"/>
    <w:rsid w:val="00E963F2"/>
    <w:rsid w:val="00EA4FA5"/>
    <w:rsid w:val="00EC2B51"/>
    <w:rsid w:val="00F419E1"/>
    <w:rsid w:val="00F56D73"/>
    <w:rsid w:val="00F60E92"/>
    <w:rsid w:val="00F906BD"/>
    <w:rsid w:val="00FC4C50"/>
    <w:rsid w:val="00FE2E30"/>
    <w:rsid w:val="063E782C"/>
    <w:rsid w:val="0A183EA3"/>
    <w:rsid w:val="0B620DD7"/>
    <w:rsid w:val="170E2606"/>
    <w:rsid w:val="176A1BD4"/>
    <w:rsid w:val="26C4269D"/>
    <w:rsid w:val="2EC849C6"/>
    <w:rsid w:val="3A252B5D"/>
    <w:rsid w:val="3AF17710"/>
    <w:rsid w:val="3B03D7AA"/>
    <w:rsid w:val="415435EB"/>
    <w:rsid w:val="41951CD2"/>
    <w:rsid w:val="44221EEC"/>
    <w:rsid w:val="44372E48"/>
    <w:rsid w:val="44B76B41"/>
    <w:rsid w:val="44D951C6"/>
    <w:rsid w:val="452F658E"/>
    <w:rsid w:val="45F90B09"/>
    <w:rsid w:val="4CA2656B"/>
    <w:rsid w:val="4D681C5C"/>
    <w:rsid w:val="4EAB2BE8"/>
    <w:rsid w:val="50925608"/>
    <w:rsid w:val="50CD42B1"/>
    <w:rsid w:val="565A522C"/>
    <w:rsid w:val="5CFC1558"/>
    <w:rsid w:val="60B1585F"/>
    <w:rsid w:val="632D6835"/>
    <w:rsid w:val="6A810E27"/>
    <w:rsid w:val="6AFD74D5"/>
    <w:rsid w:val="6BC71E49"/>
    <w:rsid w:val="6CDD7EFA"/>
    <w:rsid w:val="75024228"/>
    <w:rsid w:val="7B5F3D7C"/>
    <w:rsid w:val="9FFE9345"/>
    <w:rsid w:val="DCFF4CC7"/>
    <w:rsid w:val="DE5FFE41"/>
    <w:rsid w:val="EBCB0EB2"/>
    <w:rsid w:val="FFD3022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pPr>
    <w:rPr>
      <w:sz w:val="18"/>
      <w:szCs w:val="18"/>
    </w:rPr>
  </w:style>
  <w:style w:type="paragraph" w:styleId="3">
    <w:name w:val="Normal (Web)"/>
    <w:basedOn w:val="1"/>
    <w:qFormat/>
    <w:uiPriority w:val="0"/>
    <w:pPr>
      <w:spacing w:beforeAutospacing="1" w:afterAutospacing="1"/>
    </w:p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page number"/>
    <w:basedOn w:val="6"/>
    <w:qFormat/>
    <w:uiPriority w:val="0"/>
  </w:style>
  <w:style w:type="character" w:styleId="9">
    <w:name w:val="Hyperlink"/>
    <w:basedOn w:val="6"/>
    <w:uiPriority w:val="0"/>
    <w:rPr>
      <w:color w:val="0000FF"/>
      <w:u w:val="single"/>
    </w:rPr>
  </w:style>
  <w:style w:type="paragraph" w:styleId="10">
    <w:name w:val="List Paragraph"/>
    <w:basedOn w:val="1"/>
    <w:unhideWhenUsed/>
    <w:qFormat/>
    <w:uiPriority w:val="99"/>
    <w:pPr>
      <w:ind w:firstLine="420" w:firstLineChars="200"/>
    </w:pPr>
  </w:style>
  <w:style w:type="character" w:customStyle="1" w:styleId="11">
    <w:name w:val="页脚 字符"/>
    <w:basedOn w:val="6"/>
    <w:link w:val="2"/>
    <w:qFormat/>
    <w:uiPriority w:val="0"/>
    <w:rPr>
      <w:rFonts w:asciiTheme="minorHAnsi" w:hAnsiTheme="minorHAnsi" w:eastAsiaTheme="minorEastAsi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E518D24F-B048-0C47-B683-B2C414AFD7BC}">
  <ds:schemaRefs/>
</ds:datastoreItem>
</file>

<file path=docProps/app.xml><?xml version="1.0" encoding="utf-8"?>
<Properties xmlns="http://schemas.openxmlformats.org/officeDocument/2006/extended-properties" xmlns:vt="http://schemas.openxmlformats.org/officeDocument/2006/docPropsVTypes">
  <Pages>5</Pages>
  <Words>2295</Words>
  <Characters>2485</Characters>
  <Lines>1</Lines>
  <Paragraphs>1</Paragraphs>
  <TotalTime>3</TotalTime>
  <ScaleCrop>false</ScaleCrop>
  <LinksUpToDate>false</LinksUpToDate>
  <CharactersWithSpaces>2510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2024-09-03T18:32:00Z</dcterms:created>
  <dc:creator>Emilia</dc:creator>
  <cp:lastModifiedBy>Joy</cp:lastModifiedBy>
  <cp:lastPrinted>2025-02-28T20:45:00Z</cp:lastPrinted>
  <dcterms:modified xsi:type="dcterms:W3CDTF">2026-05-14T07:43:45Z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5A4E7B296BF2A5FA9CD6AF69B308702D_43</vt:lpwstr>
  </property>
  <property fmtid="{D5CDD505-2E9C-101B-9397-08002B2CF9AE}" pid="4" name="KSOTemplateDocerSaveRecord">
    <vt:lpwstr>eyJoZGlkIjoiNzZhNTI3OGI1ZDRkMGE5YjExZTRjYjE4Mzg3ZDcyYzUiLCJ1c2VySWQiOiIzMjIzNjYxNzQifQ==</vt:lpwstr>
  </property>
</Properties>
</file>