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E4" w:rsidRDefault="008A333E">
      <w:pPr>
        <w:spacing w:line="480" w:lineRule="auto"/>
        <w:jc w:val="center"/>
        <w:rPr>
          <w:rFonts w:ascii="黑体" w:eastAsia="黑体"/>
          <w:b/>
          <w:color w:val="FF0000"/>
          <w:sz w:val="44"/>
          <w:szCs w:val="44"/>
        </w:rPr>
      </w:pPr>
      <w:r>
        <w:rPr>
          <w:rFonts w:ascii="黑体" w:eastAsia="黑体" w:hint="eastAsia"/>
          <w:b/>
          <w:color w:val="FF0000"/>
          <w:sz w:val="44"/>
          <w:szCs w:val="44"/>
        </w:rPr>
        <w:t>上海理工大学出版印刷与艺术设计学院</w:t>
      </w:r>
    </w:p>
    <w:p w:rsidR="007036E4" w:rsidRDefault="008A333E">
      <w:pPr>
        <w:spacing w:line="480" w:lineRule="auto"/>
        <w:jc w:val="center"/>
        <w:rPr>
          <w:rFonts w:ascii="华文仿宋" w:eastAsia="华文仿宋" w:hAnsi="华文仿宋"/>
          <w:sz w:val="24"/>
        </w:rPr>
      </w:pPr>
      <w:r>
        <w:pict>
          <v:line id="_x0000_s1026" style="position:absolute;left:0;text-align:left;z-index:1;mso-width-relative:page;mso-height-relative:page" from="-17.85pt,31.2pt" to="441.15pt,31.2pt" strokecolor="red"/>
        </w:pict>
      </w:r>
      <w:r>
        <w:rPr>
          <w:rFonts w:ascii="华文仿宋" w:eastAsia="华文仿宋" w:hAnsi="华文仿宋" w:hint="eastAsia"/>
          <w:sz w:val="24"/>
        </w:rPr>
        <w:t>出版艺术</w:t>
      </w:r>
      <w:r>
        <w:rPr>
          <w:rFonts w:ascii="华文仿宋" w:eastAsia="华文仿宋" w:hAnsi="华文仿宋"/>
          <w:sz w:val="24"/>
        </w:rPr>
        <w:t>[201</w:t>
      </w:r>
      <w:r>
        <w:rPr>
          <w:rFonts w:ascii="华文仿宋" w:eastAsia="华文仿宋" w:hAnsi="华文仿宋" w:hint="eastAsia"/>
          <w:sz w:val="24"/>
        </w:rPr>
        <w:t>8</w:t>
      </w:r>
      <w:r>
        <w:rPr>
          <w:rFonts w:ascii="华文仿宋" w:eastAsia="华文仿宋" w:hAnsi="华文仿宋"/>
          <w:sz w:val="24"/>
        </w:rPr>
        <w:t xml:space="preserve">] </w:t>
      </w:r>
      <w:r w:rsidR="00084DE9">
        <w:rPr>
          <w:rFonts w:ascii="华文仿宋" w:eastAsia="华文仿宋" w:hAnsi="华文仿宋"/>
          <w:sz w:val="24"/>
        </w:rPr>
        <w:t>5</w:t>
      </w:r>
      <w:bookmarkStart w:id="0" w:name="_GoBack"/>
      <w:bookmarkEnd w:id="0"/>
      <w:r>
        <w:rPr>
          <w:rFonts w:ascii="华文仿宋" w:eastAsia="华文仿宋" w:hAnsi="华文仿宋" w:hint="eastAsia"/>
          <w:sz w:val="24"/>
        </w:rPr>
        <w:t>号</w:t>
      </w:r>
    </w:p>
    <w:p w:rsidR="007036E4" w:rsidRDefault="008A333E">
      <w:pPr>
        <w:jc w:val="center"/>
        <w:rPr>
          <w:rFonts w:ascii="楷体_GB2312" w:eastAsia="楷体_GB2312" w:hAnsi="华文中宋"/>
          <w:b/>
          <w:sz w:val="30"/>
          <w:szCs w:val="30"/>
        </w:rPr>
      </w:pPr>
      <w:r>
        <w:rPr>
          <w:rFonts w:ascii="楷体_GB2312" w:eastAsia="楷体_GB2312" w:hAnsi="华文中宋" w:hint="eastAsia"/>
          <w:b/>
          <w:sz w:val="30"/>
          <w:szCs w:val="30"/>
        </w:rPr>
        <w:t>上海理工大学出版印刷与艺术设计学院关于提高研究生学位论文水平与质量的若干措施（试行）</w:t>
      </w:r>
    </w:p>
    <w:p w:rsidR="007036E4" w:rsidRDefault="008A333E">
      <w:pPr>
        <w:ind w:firstLine="600"/>
        <w:rPr>
          <w:rFonts w:ascii="楷体_GB2312" w:eastAsia="楷体_GB2312" w:hAnsi="华文中宋"/>
          <w:sz w:val="30"/>
          <w:szCs w:val="30"/>
        </w:rPr>
      </w:pPr>
      <w:r>
        <w:rPr>
          <w:rFonts w:ascii="楷体_GB2312" w:eastAsia="楷体_GB2312" w:hAnsi="华文中宋" w:hint="eastAsia"/>
          <w:sz w:val="30"/>
          <w:szCs w:val="30"/>
        </w:rPr>
        <w:t>研究生学位论文的水平与质量是研究生培养质量，导师学术水平及能力，学科建设水平的重要标识之一。为进一步提高本院研究生培养质量，推进学科建设，特在</w:t>
      </w:r>
      <w:r>
        <w:rPr>
          <w:rFonts w:ascii="楷体_GB2312" w:eastAsia="楷体_GB2312" w:hAnsi="华文中宋"/>
          <w:sz w:val="30"/>
          <w:szCs w:val="30"/>
        </w:rPr>
        <w:t>2013</w:t>
      </w:r>
      <w:r>
        <w:rPr>
          <w:rFonts w:ascii="楷体_GB2312" w:eastAsia="楷体_GB2312" w:hAnsi="华文中宋" w:hint="eastAsia"/>
          <w:sz w:val="30"/>
          <w:szCs w:val="30"/>
        </w:rPr>
        <w:t>年</w:t>
      </w:r>
      <w:r>
        <w:rPr>
          <w:rFonts w:eastAsia="楷体_GB2312"/>
          <w:sz w:val="30"/>
          <w:szCs w:val="30"/>
        </w:rPr>
        <w:t>8</w:t>
      </w:r>
      <w:r>
        <w:rPr>
          <w:rFonts w:eastAsia="楷体_GB2312" w:hint="eastAsia"/>
          <w:sz w:val="30"/>
          <w:szCs w:val="30"/>
        </w:rPr>
        <w:t>月</w:t>
      </w:r>
      <w:r>
        <w:rPr>
          <w:rFonts w:eastAsia="楷体_GB2312"/>
          <w:sz w:val="30"/>
          <w:szCs w:val="30"/>
        </w:rPr>
        <w:t>1</w:t>
      </w:r>
      <w:r>
        <w:rPr>
          <w:rFonts w:eastAsia="楷体_GB2312" w:hint="eastAsia"/>
          <w:sz w:val="30"/>
          <w:szCs w:val="30"/>
        </w:rPr>
        <w:t>日制定的措施基础上</w:t>
      </w:r>
      <w:r>
        <w:rPr>
          <w:rFonts w:ascii="楷体_GB2312" w:eastAsia="楷体_GB2312" w:hAnsi="华文中宋" w:hint="eastAsia"/>
          <w:sz w:val="30"/>
          <w:szCs w:val="30"/>
        </w:rPr>
        <w:t>进行如下修订，并从</w:t>
      </w:r>
      <w:bookmarkStart w:id="1" w:name="OLE_LINK1"/>
      <w:r>
        <w:rPr>
          <w:rFonts w:ascii="楷体_GB2312" w:eastAsia="楷体_GB2312" w:hAnsi="华文中宋"/>
          <w:sz w:val="30"/>
          <w:szCs w:val="30"/>
        </w:rPr>
        <w:t>201</w:t>
      </w:r>
      <w:r>
        <w:rPr>
          <w:rFonts w:ascii="楷体_GB2312" w:eastAsia="楷体_GB2312" w:hAnsi="华文中宋" w:hint="eastAsia"/>
          <w:sz w:val="30"/>
          <w:szCs w:val="30"/>
        </w:rPr>
        <w:t>8</w:t>
      </w:r>
      <w:r>
        <w:rPr>
          <w:rFonts w:ascii="楷体_GB2312" w:eastAsia="楷体_GB2312" w:hAnsi="华文中宋" w:hint="eastAsia"/>
          <w:sz w:val="30"/>
          <w:szCs w:val="30"/>
        </w:rPr>
        <w:t>年</w:t>
      </w:r>
      <w:r>
        <w:rPr>
          <w:rFonts w:ascii="楷体_GB2312" w:eastAsia="楷体_GB2312" w:hAnsi="华文中宋"/>
          <w:sz w:val="30"/>
          <w:szCs w:val="30"/>
        </w:rPr>
        <w:t>9</w:t>
      </w:r>
      <w:r>
        <w:rPr>
          <w:rFonts w:eastAsia="楷体_GB2312" w:hint="eastAsia"/>
          <w:sz w:val="30"/>
          <w:szCs w:val="30"/>
        </w:rPr>
        <w:t>月</w:t>
      </w:r>
      <w:r>
        <w:rPr>
          <w:rFonts w:eastAsia="楷体_GB2312" w:hint="eastAsia"/>
          <w:sz w:val="30"/>
          <w:szCs w:val="30"/>
        </w:rPr>
        <w:t>1</w:t>
      </w:r>
      <w:r>
        <w:rPr>
          <w:rFonts w:eastAsia="楷体_GB2312"/>
          <w:sz w:val="30"/>
          <w:szCs w:val="30"/>
        </w:rPr>
        <w:t>0</w:t>
      </w:r>
      <w:r>
        <w:rPr>
          <w:rFonts w:eastAsia="楷体_GB2312" w:hint="eastAsia"/>
          <w:sz w:val="30"/>
          <w:szCs w:val="30"/>
        </w:rPr>
        <w:t>日</w:t>
      </w:r>
      <w:bookmarkEnd w:id="1"/>
      <w:r>
        <w:rPr>
          <w:rFonts w:ascii="楷体_GB2312" w:eastAsia="楷体_GB2312" w:hAnsi="华文中宋" w:hint="eastAsia"/>
          <w:sz w:val="30"/>
          <w:szCs w:val="30"/>
        </w:rPr>
        <w:t>起试行。</w:t>
      </w:r>
    </w:p>
    <w:p w:rsidR="007036E4" w:rsidRDefault="007036E4">
      <w:pPr>
        <w:ind w:firstLine="600"/>
        <w:rPr>
          <w:rFonts w:ascii="楷体_GB2312" w:eastAsia="楷体_GB2312" w:hAnsi="华文中宋"/>
          <w:sz w:val="30"/>
          <w:szCs w:val="30"/>
        </w:rPr>
      </w:pPr>
    </w:p>
    <w:p w:rsidR="007036E4" w:rsidRDefault="008A333E">
      <w:pPr>
        <w:numPr>
          <w:ilvl w:val="0"/>
          <w:numId w:val="1"/>
        </w:numPr>
        <w:tabs>
          <w:tab w:val="clear" w:pos="1320"/>
        </w:tabs>
        <w:ind w:left="640" w:hanging="640"/>
        <w:rPr>
          <w:rFonts w:ascii="楷体_GB2312" w:eastAsia="楷体_GB2312" w:hAnsi="华文中宋"/>
          <w:b/>
          <w:bCs/>
          <w:sz w:val="30"/>
          <w:szCs w:val="30"/>
        </w:rPr>
      </w:pPr>
      <w:bookmarkStart w:id="2" w:name="OLE_LINK6"/>
      <w:r>
        <w:rPr>
          <w:rFonts w:ascii="楷体_GB2312" w:eastAsia="楷体_GB2312" w:hAnsi="华文中宋" w:hint="eastAsia"/>
          <w:b/>
          <w:bCs/>
          <w:sz w:val="30"/>
          <w:szCs w:val="30"/>
        </w:rPr>
        <w:t>加强学位论文开题报告和中期检查的规范</w:t>
      </w:r>
      <w:bookmarkEnd w:id="2"/>
    </w:p>
    <w:p w:rsidR="007036E4" w:rsidRDefault="008A333E">
      <w:pPr>
        <w:numPr>
          <w:ilvl w:val="0"/>
          <w:numId w:val="2"/>
        </w:numPr>
        <w:rPr>
          <w:rFonts w:ascii="楷体_GB2312" w:eastAsia="楷体_GB2312" w:hAnsi="华文中宋"/>
          <w:sz w:val="30"/>
          <w:szCs w:val="30"/>
        </w:rPr>
      </w:pPr>
      <w:r>
        <w:rPr>
          <w:rFonts w:ascii="楷体_GB2312" w:eastAsia="楷体_GB2312" w:hAnsi="华文中宋" w:hint="eastAsia"/>
          <w:sz w:val="30"/>
          <w:szCs w:val="30"/>
        </w:rPr>
        <w:t>学位论文开题报告采取导师本人回避、交叉答辩审核通过的方式，以保证论文选题符合有关学科研究生学位论文的要求。</w:t>
      </w:r>
    </w:p>
    <w:p w:rsidR="007036E4" w:rsidRDefault="008A333E">
      <w:pPr>
        <w:numPr>
          <w:ilvl w:val="0"/>
          <w:numId w:val="2"/>
        </w:numPr>
        <w:rPr>
          <w:rFonts w:ascii="楷体_GB2312" w:eastAsia="楷体_GB2312" w:hAnsi="华文中宋"/>
          <w:sz w:val="30"/>
          <w:szCs w:val="30"/>
        </w:rPr>
      </w:pPr>
      <w:r>
        <w:rPr>
          <w:rFonts w:ascii="楷体_GB2312" w:eastAsia="楷体_GB2312" w:hAnsi="华文中宋" w:hint="eastAsia"/>
          <w:sz w:val="30"/>
          <w:szCs w:val="30"/>
        </w:rPr>
        <w:t>导师对于审核结论持不同意见，可由院学术委员会委托有关专家复审。复审仍不通过者，导师必须根据复审意见，指导研究生重新开题。</w:t>
      </w:r>
    </w:p>
    <w:p w:rsidR="007036E4" w:rsidRDefault="008A333E">
      <w:pPr>
        <w:numPr>
          <w:ilvl w:val="0"/>
          <w:numId w:val="2"/>
        </w:numPr>
        <w:rPr>
          <w:rFonts w:ascii="楷体_GB2312" w:eastAsia="楷体_GB2312" w:hAnsi="华文中宋"/>
          <w:sz w:val="30"/>
          <w:szCs w:val="30"/>
        </w:rPr>
      </w:pPr>
      <w:r>
        <w:rPr>
          <w:rFonts w:ascii="楷体_GB2312" w:eastAsia="楷体_GB2312" w:hAnsi="华文中宋" w:hint="eastAsia"/>
          <w:sz w:val="30"/>
          <w:szCs w:val="30"/>
        </w:rPr>
        <w:t>规范开题和中期流程，开题一经通过后不得随意更改题目和研究内容，开题报告需由学科答辩组、导师、学生三方面知情并达成一致后上交学院存档。开题后至中期检查前如需变动论文题目，需经学科同意后，上报主管院长审核，由主管院长酌情批复。中期以后一律不得更换或修改论文题目。如需更换或修改则需重新开</w:t>
      </w:r>
      <w:r>
        <w:rPr>
          <w:rFonts w:ascii="楷体_GB2312" w:eastAsia="楷体_GB2312" w:hAnsi="华文中宋" w:hint="eastAsia"/>
          <w:sz w:val="30"/>
          <w:szCs w:val="30"/>
        </w:rPr>
        <w:t>题，开</w:t>
      </w:r>
      <w:r>
        <w:rPr>
          <w:rFonts w:ascii="楷体_GB2312" w:eastAsia="楷体_GB2312" w:hAnsi="华文中宋" w:hint="eastAsia"/>
          <w:sz w:val="30"/>
          <w:szCs w:val="30"/>
        </w:rPr>
        <w:lastRenderedPageBreak/>
        <w:t>题至答辩时间不得少于</w:t>
      </w:r>
      <w:r>
        <w:rPr>
          <w:rFonts w:ascii="楷体_GB2312" w:eastAsia="楷体_GB2312" w:hAnsi="华文中宋" w:hint="eastAsia"/>
          <w:sz w:val="30"/>
          <w:szCs w:val="30"/>
        </w:rPr>
        <w:t>1</w:t>
      </w:r>
      <w:r>
        <w:rPr>
          <w:rFonts w:ascii="楷体_GB2312" w:eastAsia="楷体_GB2312" w:hAnsi="华文中宋" w:hint="eastAsia"/>
          <w:sz w:val="30"/>
          <w:szCs w:val="30"/>
        </w:rPr>
        <w:t>年。</w:t>
      </w:r>
    </w:p>
    <w:p w:rsidR="007036E4" w:rsidRDefault="008A333E">
      <w:pPr>
        <w:rPr>
          <w:rFonts w:ascii="楷体_GB2312" w:eastAsia="楷体_GB2312" w:hAnsi="华文中宋"/>
          <w:b/>
          <w:bCs/>
          <w:sz w:val="30"/>
          <w:szCs w:val="30"/>
        </w:rPr>
      </w:pPr>
      <w:r>
        <w:rPr>
          <w:rFonts w:ascii="楷体_GB2312" w:eastAsia="楷体_GB2312" w:hAnsi="华文中宋" w:hint="eastAsia"/>
          <w:b/>
          <w:bCs/>
          <w:sz w:val="30"/>
          <w:szCs w:val="30"/>
        </w:rPr>
        <w:t>二、加强学位论文的质量检查</w:t>
      </w:r>
    </w:p>
    <w:p w:rsidR="007036E4" w:rsidRDefault="008A333E">
      <w:pPr>
        <w:pStyle w:val="a7"/>
        <w:ind w:firstLine="562"/>
        <w:rPr>
          <w:rFonts w:ascii="楷体_GB2312" w:eastAsia="楷体_GB2312"/>
          <w:sz w:val="28"/>
          <w:szCs w:val="28"/>
        </w:rPr>
      </w:pPr>
      <w:r>
        <w:rPr>
          <w:rFonts w:ascii="楷体_GB2312" w:eastAsia="楷体_GB2312"/>
          <w:b/>
          <w:sz w:val="28"/>
          <w:szCs w:val="28"/>
        </w:rPr>
        <w:t>1.</w:t>
      </w:r>
      <w:r>
        <w:rPr>
          <w:rFonts w:ascii="楷体_GB2312" w:eastAsia="楷体_GB2312" w:hint="eastAsia"/>
          <w:b/>
          <w:sz w:val="28"/>
          <w:szCs w:val="28"/>
        </w:rPr>
        <w:t>答辩前论文盲审与格式规范化</w:t>
      </w:r>
    </w:p>
    <w:p w:rsidR="007036E4" w:rsidRDefault="008A333E">
      <w:pPr>
        <w:pStyle w:val="a7"/>
        <w:ind w:left="570" w:firstLine="600"/>
        <w:rPr>
          <w:rFonts w:ascii="楷体_GB2312" w:eastAsia="楷体_GB2312" w:hAnsi="华文中宋"/>
          <w:sz w:val="30"/>
          <w:szCs w:val="30"/>
        </w:rPr>
      </w:pPr>
      <w:r>
        <w:rPr>
          <w:rFonts w:ascii="楷体_GB2312" w:eastAsia="楷体_GB2312" w:hAnsi="华文中宋" w:hint="eastAsia"/>
          <w:sz w:val="30"/>
          <w:szCs w:val="30"/>
        </w:rPr>
        <w:t>启用学院</w:t>
      </w:r>
      <w:r>
        <w:rPr>
          <w:rFonts w:ascii="楷体_GB2312" w:eastAsia="楷体_GB2312" w:hAnsi="华文中宋" w:hint="eastAsia"/>
          <w:sz w:val="30"/>
          <w:szCs w:val="30"/>
        </w:rPr>
        <w:t>--</w:t>
      </w:r>
      <w:r>
        <w:rPr>
          <w:rFonts w:ascii="楷体_GB2312" w:eastAsia="楷体_GB2312" w:hAnsi="华文中宋" w:hint="eastAsia"/>
          <w:sz w:val="30"/>
          <w:szCs w:val="30"/>
        </w:rPr>
        <w:t>学科盲审制度：导师直接对论文质量负责，毕业论文答辩前，以各学科为单位组织盲审抽查，各学科在学院要求的截止时间以前落实好盲审抽查事宜。盲审不通过者责令修改，于两周后再次送审，并计入导师年终考核。再次送审不合格者，建议学生修改内容或重新开题，并减少该导师下一年度招生指标。连续两年发生该情况者，则该导师停止招生一年。学院需在收到各学科上报的学生盲审通过的结论后方可统一办理答辩手续。</w:t>
      </w:r>
    </w:p>
    <w:p w:rsidR="007036E4" w:rsidRDefault="008A333E">
      <w:pPr>
        <w:pStyle w:val="a7"/>
        <w:ind w:left="570" w:firstLine="600"/>
        <w:rPr>
          <w:rFonts w:ascii="楷体_GB2312" w:eastAsia="楷体_GB2312" w:hAnsi="华文中宋"/>
          <w:sz w:val="30"/>
          <w:szCs w:val="30"/>
        </w:rPr>
      </w:pPr>
      <w:r>
        <w:rPr>
          <w:rFonts w:ascii="楷体_GB2312" w:eastAsia="楷体_GB2312" w:hAnsi="华文中宋" w:hint="eastAsia"/>
          <w:sz w:val="30"/>
          <w:szCs w:val="30"/>
        </w:rPr>
        <w:t>启用论文格式学科负责制度：</w:t>
      </w:r>
      <w:r>
        <w:rPr>
          <w:rFonts w:ascii="楷体_GB2312" w:eastAsia="楷体_GB2312" w:hAnsi="华文中宋" w:hint="eastAsia"/>
          <w:sz w:val="30"/>
          <w:szCs w:val="30"/>
        </w:rPr>
        <w:t>导师应对学生毕业论文格式规范全权负责，各学科对质量进行把关。责任主体为学科，问题格式由导师负责。各学科可以灵活采用积极有效的方式进行</w:t>
      </w:r>
      <w:bookmarkStart w:id="3" w:name="OLE_LINK2"/>
      <w:r>
        <w:rPr>
          <w:rFonts w:ascii="楷体_GB2312" w:eastAsia="楷体_GB2312" w:hAnsi="华文中宋" w:hint="eastAsia"/>
          <w:sz w:val="30"/>
          <w:szCs w:val="30"/>
        </w:rPr>
        <w:t>论文的格式规范审查</w:t>
      </w:r>
      <w:bookmarkEnd w:id="3"/>
      <w:r>
        <w:rPr>
          <w:rFonts w:ascii="楷体_GB2312" w:eastAsia="楷体_GB2312" w:hAnsi="华文中宋" w:hint="eastAsia"/>
          <w:sz w:val="30"/>
          <w:szCs w:val="30"/>
        </w:rPr>
        <w:t>。</w:t>
      </w:r>
    </w:p>
    <w:p w:rsidR="007036E4" w:rsidRDefault="008A333E">
      <w:pPr>
        <w:pStyle w:val="a7"/>
        <w:ind w:left="210" w:firstLineChars="153" w:firstLine="430"/>
        <w:rPr>
          <w:rFonts w:ascii="楷体_GB2312" w:eastAsia="楷体_GB2312"/>
          <w:sz w:val="28"/>
          <w:szCs w:val="28"/>
        </w:rPr>
      </w:pPr>
      <w:r>
        <w:rPr>
          <w:rFonts w:ascii="楷体_GB2312" w:eastAsia="楷体_GB2312" w:hint="eastAsia"/>
          <w:b/>
          <w:sz w:val="28"/>
          <w:szCs w:val="28"/>
        </w:rPr>
        <w:t>2</w:t>
      </w:r>
      <w:r>
        <w:rPr>
          <w:rFonts w:ascii="楷体_GB2312" w:eastAsia="楷体_GB2312"/>
          <w:b/>
          <w:sz w:val="28"/>
          <w:szCs w:val="28"/>
        </w:rPr>
        <w:t>.</w:t>
      </w:r>
      <w:r>
        <w:rPr>
          <w:rFonts w:ascii="楷体_GB2312" w:eastAsia="楷体_GB2312" w:hint="eastAsia"/>
          <w:b/>
          <w:sz w:val="28"/>
          <w:szCs w:val="28"/>
        </w:rPr>
        <w:t>鼓励与加强优秀毕业论文申报</w:t>
      </w:r>
    </w:p>
    <w:p w:rsidR="007036E4" w:rsidRDefault="008A333E">
      <w:pPr>
        <w:pStyle w:val="a7"/>
        <w:ind w:left="570" w:firstLine="560"/>
        <w:rPr>
          <w:rFonts w:ascii="楷体_GB2312" w:eastAsia="楷体_GB2312"/>
          <w:sz w:val="28"/>
          <w:szCs w:val="28"/>
        </w:rPr>
      </w:pPr>
      <w:r>
        <w:rPr>
          <w:rFonts w:ascii="楷体_GB2312" w:eastAsia="楷体_GB2312" w:hint="eastAsia"/>
          <w:sz w:val="28"/>
          <w:szCs w:val="28"/>
        </w:rPr>
        <w:t>加强各学科对优秀毕业论文的申报工作。每年度优秀毕业论文评审阶段，以学科为单位进行组织和申报，经学科初选后，上报学院，由学院汇总上报至研究生院。当年获得优秀毕业论文的导师将于年终进行相应奖励。</w:t>
      </w:r>
    </w:p>
    <w:p w:rsidR="007036E4" w:rsidRDefault="008A333E">
      <w:pPr>
        <w:pStyle w:val="a7"/>
        <w:ind w:firstLine="562"/>
        <w:rPr>
          <w:rFonts w:ascii="楷体_GB2312" w:eastAsia="楷体_GB2312"/>
          <w:b/>
          <w:sz w:val="28"/>
          <w:szCs w:val="28"/>
        </w:rPr>
      </w:pPr>
      <w:r>
        <w:rPr>
          <w:rFonts w:ascii="楷体_GB2312" w:eastAsia="楷体_GB2312" w:hint="eastAsia"/>
          <w:b/>
          <w:sz w:val="28"/>
          <w:szCs w:val="28"/>
        </w:rPr>
        <w:t>三、相关奖励与处罚机制</w:t>
      </w:r>
      <w:bookmarkStart w:id="4" w:name="OLE_LINK3"/>
    </w:p>
    <w:p w:rsidR="007036E4" w:rsidRDefault="008A333E">
      <w:pPr>
        <w:pStyle w:val="a7"/>
        <w:ind w:left="570" w:firstLine="600"/>
        <w:rPr>
          <w:rFonts w:ascii="楷体_GB2312" w:eastAsia="楷体_GB2312"/>
          <w:b/>
          <w:sz w:val="28"/>
          <w:szCs w:val="28"/>
        </w:rPr>
      </w:pPr>
      <w:r>
        <w:rPr>
          <w:rFonts w:ascii="楷体_GB2312" w:eastAsia="楷体_GB2312" w:hAnsi="华文中宋" w:hint="eastAsia"/>
          <w:sz w:val="30"/>
          <w:szCs w:val="30"/>
        </w:rPr>
        <w:t>经校学位办“百盲”抽查或上海市盲审，</w:t>
      </w:r>
      <w:bookmarkEnd w:id="4"/>
      <w:r>
        <w:rPr>
          <w:rFonts w:ascii="楷体_GB2312" w:eastAsia="楷体_GB2312" w:hAnsi="华文中宋" w:hint="eastAsia"/>
          <w:sz w:val="30"/>
          <w:szCs w:val="30"/>
        </w:rPr>
        <w:t>论文出现论文</w:t>
      </w:r>
      <w:r>
        <w:rPr>
          <w:rFonts w:ascii="楷体_GB2312" w:eastAsia="楷体_GB2312" w:hAnsi="华文中宋" w:hint="eastAsia"/>
          <w:sz w:val="30"/>
          <w:szCs w:val="30"/>
        </w:rPr>
        <w:lastRenderedPageBreak/>
        <w:t>质量或格式等相关问题，由该导师承担责任，并将计入导师的年终考核</w:t>
      </w:r>
      <w:r>
        <w:rPr>
          <w:rFonts w:ascii="楷体_GB2312" w:eastAsia="楷体_GB2312" w:hAnsi="华文中宋" w:hint="eastAsia"/>
          <w:sz w:val="30"/>
          <w:szCs w:val="30"/>
        </w:rPr>
        <w:t>。</w:t>
      </w:r>
    </w:p>
    <w:p w:rsidR="007036E4" w:rsidRDefault="008A333E">
      <w:pPr>
        <w:pStyle w:val="a7"/>
        <w:numPr>
          <w:ilvl w:val="0"/>
          <w:numId w:val="3"/>
        </w:numPr>
        <w:ind w:left="210" w:firstLine="560"/>
        <w:rPr>
          <w:rFonts w:ascii="楷体_GB2312" w:eastAsia="楷体_GB2312"/>
          <w:bCs/>
          <w:sz w:val="28"/>
          <w:szCs w:val="28"/>
        </w:rPr>
      </w:pPr>
      <w:r>
        <w:rPr>
          <w:rFonts w:ascii="楷体_GB2312" w:eastAsia="楷体_GB2312" w:hint="eastAsia"/>
          <w:bCs/>
          <w:sz w:val="28"/>
          <w:szCs w:val="28"/>
        </w:rPr>
        <w:t>校“百盲”抽检：</w:t>
      </w:r>
    </w:p>
    <w:p w:rsidR="007036E4" w:rsidRDefault="008A333E">
      <w:pPr>
        <w:pStyle w:val="a7"/>
        <w:ind w:leftChars="297" w:left="624" w:firstLineChars="163" w:firstLine="456"/>
        <w:rPr>
          <w:rFonts w:ascii="楷体_GB2312" w:eastAsia="楷体_GB2312"/>
          <w:sz w:val="28"/>
          <w:szCs w:val="28"/>
        </w:rPr>
      </w:pPr>
      <w:r>
        <w:rPr>
          <w:rFonts w:ascii="楷体_GB2312" w:eastAsia="楷体_GB2312" w:hint="eastAsia"/>
          <w:sz w:val="28"/>
          <w:szCs w:val="28"/>
        </w:rPr>
        <w:t>本院研究生学位论文校盲审结论为“优秀”加</w:t>
      </w:r>
      <w:r>
        <w:rPr>
          <w:rFonts w:ascii="楷体_GB2312" w:eastAsia="楷体_GB2312"/>
          <w:sz w:val="28"/>
          <w:szCs w:val="28"/>
        </w:rPr>
        <w:t>2</w:t>
      </w:r>
      <w:r>
        <w:rPr>
          <w:rFonts w:ascii="楷体_GB2312" w:eastAsia="楷体_GB2312" w:hint="eastAsia"/>
          <w:sz w:val="28"/>
          <w:szCs w:val="28"/>
        </w:rPr>
        <w:t>分；“良好”论文加</w:t>
      </w:r>
      <w:r>
        <w:rPr>
          <w:rFonts w:ascii="楷体_GB2312" w:eastAsia="楷体_GB2312"/>
          <w:sz w:val="28"/>
          <w:szCs w:val="28"/>
        </w:rPr>
        <w:t>1</w:t>
      </w:r>
      <w:r>
        <w:rPr>
          <w:rFonts w:ascii="楷体_GB2312" w:eastAsia="楷体_GB2312" w:hint="eastAsia"/>
          <w:sz w:val="28"/>
          <w:szCs w:val="28"/>
        </w:rPr>
        <w:t>分；</w:t>
      </w:r>
      <w:r>
        <w:rPr>
          <w:rFonts w:ascii="楷体_GB2312" w:eastAsia="楷体_GB2312" w:hint="eastAsia"/>
          <w:sz w:val="28"/>
          <w:szCs w:val="28"/>
        </w:rPr>
        <w:t xml:space="preserve"> </w:t>
      </w:r>
      <w:r>
        <w:rPr>
          <w:rFonts w:ascii="楷体_GB2312" w:eastAsia="楷体_GB2312" w:hint="eastAsia"/>
          <w:sz w:val="28"/>
          <w:szCs w:val="28"/>
        </w:rPr>
        <w:t>“不合格”扣</w:t>
      </w:r>
      <w:r>
        <w:rPr>
          <w:rFonts w:ascii="楷体_GB2312" w:eastAsia="楷体_GB2312"/>
          <w:sz w:val="28"/>
          <w:szCs w:val="28"/>
        </w:rPr>
        <w:t>2</w:t>
      </w:r>
      <w:r>
        <w:rPr>
          <w:rFonts w:ascii="楷体_GB2312" w:eastAsia="楷体_GB2312" w:hint="eastAsia"/>
          <w:sz w:val="28"/>
          <w:szCs w:val="28"/>
        </w:rPr>
        <w:t>分。学位论文校盲审结论为“不合格”的，下年度将酌情扣除该导师指导研究生的名额扣除</w:t>
      </w:r>
      <w:r>
        <w:rPr>
          <w:rFonts w:ascii="楷体_GB2312" w:eastAsia="楷体_GB2312"/>
          <w:sz w:val="28"/>
          <w:szCs w:val="28"/>
        </w:rPr>
        <w:t>1</w:t>
      </w:r>
      <w:r>
        <w:rPr>
          <w:rFonts w:ascii="楷体_GB2312" w:eastAsia="楷体_GB2312" w:hint="eastAsia"/>
          <w:sz w:val="28"/>
          <w:szCs w:val="28"/>
        </w:rPr>
        <w:t>名；累计出现两次“不合格”情况的，将提交院学位委员会讨论，暂停该导师下年度接受研究生。</w:t>
      </w:r>
    </w:p>
    <w:p w:rsidR="007036E4" w:rsidRDefault="008A333E">
      <w:pPr>
        <w:pStyle w:val="a7"/>
        <w:ind w:left="210" w:firstLineChars="153" w:firstLine="428"/>
        <w:rPr>
          <w:rFonts w:ascii="楷体_GB2312" w:eastAsia="楷体_GB2312"/>
          <w:bCs/>
          <w:sz w:val="28"/>
          <w:szCs w:val="28"/>
        </w:rPr>
      </w:pPr>
      <w:r>
        <w:rPr>
          <w:rFonts w:ascii="楷体_GB2312" w:eastAsia="楷体_GB2312" w:hint="eastAsia"/>
          <w:bCs/>
          <w:sz w:val="28"/>
          <w:szCs w:val="28"/>
        </w:rPr>
        <w:t>B.</w:t>
      </w:r>
      <w:r>
        <w:rPr>
          <w:rFonts w:ascii="楷体_GB2312" w:eastAsia="楷体_GB2312" w:hint="eastAsia"/>
          <w:bCs/>
          <w:sz w:val="28"/>
          <w:szCs w:val="28"/>
        </w:rPr>
        <w:t>上海市盲审：</w:t>
      </w:r>
    </w:p>
    <w:p w:rsidR="007036E4" w:rsidRDefault="008A333E">
      <w:pPr>
        <w:pStyle w:val="a7"/>
        <w:ind w:left="570" w:firstLine="560"/>
        <w:rPr>
          <w:rFonts w:ascii="楷体_GB2312" w:eastAsia="楷体_GB2312"/>
          <w:sz w:val="28"/>
          <w:szCs w:val="28"/>
        </w:rPr>
      </w:pPr>
      <w:r>
        <w:rPr>
          <w:rFonts w:ascii="楷体_GB2312" w:eastAsia="楷体_GB2312" w:hint="eastAsia"/>
          <w:sz w:val="28"/>
          <w:szCs w:val="28"/>
        </w:rPr>
        <w:t>本院研究生学位论文上海市盲审结论为“不合格”：扣</w:t>
      </w:r>
      <w:r>
        <w:rPr>
          <w:rFonts w:ascii="楷体_GB2312" w:eastAsia="楷体_GB2312"/>
          <w:sz w:val="28"/>
          <w:szCs w:val="28"/>
        </w:rPr>
        <w:t>5</w:t>
      </w:r>
      <w:r>
        <w:rPr>
          <w:rFonts w:ascii="楷体_GB2312" w:eastAsia="楷体_GB2312" w:hint="eastAsia"/>
          <w:sz w:val="28"/>
          <w:szCs w:val="28"/>
        </w:rPr>
        <w:t>分，暂停该导师下年度招收研究生，累计</w:t>
      </w:r>
      <w:r>
        <w:rPr>
          <w:rFonts w:ascii="楷体_GB2312" w:eastAsia="楷体_GB2312"/>
          <w:sz w:val="28"/>
          <w:szCs w:val="28"/>
        </w:rPr>
        <w:t>2</w:t>
      </w:r>
      <w:r>
        <w:rPr>
          <w:rFonts w:ascii="楷体_GB2312" w:eastAsia="楷体_GB2312" w:hint="eastAsia"/>
          <w:sz w:val="28"/>
          <w:szCs w:val="28"/>
        </w:rPr>
        <w:t>次盲审为“不合格</w:t>
      </w:r>
      <w:r>
        <w:rPr>
          <w:rFonts w:ascii="楷体_GB2312" w:eastAsia="楷体_GB2312"/>
          <w:sz w:val="28"/>
          <w:szCs w:val="28"/>
        </w:rPr>
        <w:t>”</w:t>
      </w:r>
      <w:r>
        <w:rPr>
          <w:rFonts w:ascii="楷体_GB2312" w:eastAsia="楷体_GB2312" w:hint="eastAsia"/>
          <w:sz w:val="28"/>
          <w:szCs w:val="28"/>
        </w:rPr>
        <w:t>，将提交院学位委员会讨论取消导师资格。</w:t>
      </w:r>
    </w:p>
    <w:p w:rsidR="007036E4" w:rsidRDefault="008A333E">
      <w:pPr>
        <w:pStyle w:val="a7"/>
        <w:ind w:left="210" w:firstLineChars="153" w:firstLine="428"/>
        <w:rPr>
          <w:rFonts w:ascii="楷体_GB2312" w:eastAsia="楷体_GB2312"/>
          <w:bCs/>
          <w:sz w:val="28"/>
          <w:szCs w:val="28"/>
        </w:rPr>
      </w:pPr>
      <w:bookmarkStart w:id="5" w:name="OLE_LINK5"/>
      <w:r>
        <w:rPr>
          <w:rFonts w:ascii="楷体_GB2312" w:eastAsia="楷体_GB2312" w:hint="eastAsia"/>
          <w:bCs/>
          <w:sz w:val="28"/>
          <w:szCs w:val="28"/>
        </w:rPr>
        <w:t>C</w:t>
      </w:r>
      <w:r>
        <w:rPr>
          <w:rFonts w:ascii="楷体_GB2312" w:eastAsia="楷体_GB2312"/>
          <w:bCs/>
          <w:sz w:val="28"/>
          <w:szCs w:val="28"/>
        </w:rPr>
        <w:t>.</w:t>
      </w:r>
      <w:r>
        <w:rPr>
          <w:rFonts w:ascii="楷体_GB2312" w:eastAsia="楷体_GB2312" w:hint="eastAsia"/>
          <w:bCs/>
          <w:sz w:val="28"/>
          <w:szCs w:val="28"/>
        </w:rPr>
        <w:t>优秀毕业论文：</w:t>
      </w:r>
    </w:p>
    <w:p w:rsidR="007036E4" w:rsidRDefault="008A333E">
      <w:pPr>
        <w:pStyle w:val="a7"/>
        <w:ind w:left="570" w:firstLine="560"/>
        <w:rPr>
          <w:rFonts w:ascii="楷体_GB2312" w:eastAsia="楷体_GB2312"/>
          <w:sz w:val="28"/>
          <w:szCs w:val="28"/>
        </w:rPr>
      </w:pPr>
      <w:bookmarkStart w:id="6" w:name="OLE_LINK4"/>
      <w:r>
        <w:rPr>
          <w:rFonts w:ascii="楷体_GB2312" w:eastAsia="楷体_GB2312" w:hint="eastAsia"/>
          <w:sz w:val="28"/>
          <w:szCs w:val="28"/>
        </w:rPr>
        <w:t>加强各学科对优秀毕业论文的申报工作</w:t>
      </w:r>
      <w:bookmarkEnd w:id="6"/>
      <w:r>
        <w:rPr>
          <w:rFonts w:ascii="楷体_GB2312" w:eastAsia="楷体_GB2312" w:hint="eastAsia"/>
          <w:sz w:val="28"/>
          <w:szCs w:val="28"/>
        </w:rPr>
        <w:t>。每年度优秀毕业论文评审阶段，以学科为单位进行组织和申报，经学科初选后，上报学院，由学院汇总上报至研究生院。当年获得优秀毕业论文的导师和学科负责人将于年终进行相应奖励。</w:t>
      </w:r>
    </w:p>
    <w:bookmarkEnd w:id="5"/>
    <w:p w:rsidR="007036E4" w:rsidRDefault="008A333E">
      <w:pPr>
        <w:pStyle w:val="a7"/>
        <w:ind w:left="570" w:firstLineChars="100" w:firstLine="280"/>
        <w:rPr>
          <w:rFonts w:ascii="楷体_GB2312" w:eastAsia="楷体_GB2312"/>
          <w:sz w:val="28"/>
          <w:szCs w:val="28"/>
        </w:rPr>
      </w:pPr>
      <w:r>
        <w:rPr>
          <w:rFonts w:ascii="楷体_GB2312" w:eastAsia="楷体_GB2312" w:hint="eastAsia"/>
          <w:sz w:val="28"/>
          <w:szCs w:val="28"/>
        </w:rPr>
        <w:t>所带研究生学位论文获得校优秀论文的导师，加</w:t>
      </w:r>
      <w:r>
        <w:rPr>
          <w:rFonts w:ascii="楷体_GB2312" w:eastAsia="楷体_GB2312"/>
          <w:sz w:val="28"/>
          <w:szCs w:val="28"/>
        </w:rPr>
        <w:t>5</w:t>
      </w:r>
      <w:r>
        <w:rPr>
          <w:rFonts w:ascii="楷体_GB2312" w:eastAsia="楷体_GB2312" w:hint="eastAsia"/>
          <w:sz w:val="28"/>
          <w:szCs w:val="28"/>
        </w:rPr>
        <w:t>分；获得上海市优秀论文加</w:t>
      </w:r>
      <w:r>
        <w:rPr>
          <w:rFonts w:ascii="楷体_GB2312" w:eastAsia="楷体_GB2312"/>
          <w:sz w:val="28"/>
          <w:szCs w:val="28"/>
        </w:rPr>
        <w:t>8</w:t>
      </w:r>
      <w:r>
        <w:rPr>
          <w:rFonts w:ascii="楷体_GB2312" w:eastAsia="楷体_GB2312" w:hint="eastAsia"/>
          <w:sz w:val="28"/>
          <w:szCs w:val="28"/>
        </w:rPr>
        <w:t>分。</w:t>
      </w:r>
    </w:p>
    <w:p w:rsidR="007036E4" w:rsidRDefault="007036E4">
      <w:pPr>
        <w:pStyle w:val="a7"/>
        <w:ind w:leftChars="50" w:left="105" w:firstLineChars="300" w:firstLine="840"/>
        <w:rPr>
          <w:rFonts w:ascii="楷体_GB2312" w:eastAsia="楷体_GB2312"/>
          <w:sz w:val="28"/>
          <w:szCs w:val="28"/>
        </w:rPr>
      </w:pPr>
    </w:p>
    <w:p w:rsidR="007036E4" w:rsidRDefault="008A333E">
      <w:pPr>
        <w:spacing w:line="360" w:lineRule="auto"/>
        <w:jc w:val="right"/>
        <w:rPr>
          <w:rFonts w:ascii="楷体_GB2312" w:eastAsia="楷体_GB2312" w:hAnsi="Calibri"/>
          <w:sz w:val="28"/>
          <w:szCs w:val="28"/>
        </w:rPr>
      </w:pPr>
      <w:r>
        <w:rPr>
          <w:rFonts w:ascii="楷体_GB2312" w:eastAsia="楷体_GB2312" w:hAnsi="Calibri" w:hint="eastAsia"/>
          <w:sz w:val="28"/>
          <w:szCs w:val="28"/>
        </w:rPr>
        <w:t>出版印刷与艺术设计学院</w:t>
      </w:r>
    </w:p>
    <w:p w:rsidR="007036E4" w:rsidRDefault="008A333E">
      <w:pPr>
        <w:spacing w:line="360" w:lineRule="auto"/>
        <w:jc w:val="right"/>
        <w:rPr>
          <w:rFonts w:ascii="楷体_GB2312" w:eastAsia="楷体_GB2312" w:hAnsi="Calibri"/>
          <w:sz w:val="28"/>
          <w:szCs w:val="28"/>
        </w:rPr>
      </w:pPr>
      <w:r>
        <w:rPr>
          <w:rFonts w:ascii="楷体_GB2312" w:eastAsia="楷体_GB2312" w:hAnsi="Calibri"/>
          <w:sz w:val="28"/>
          <w:szCs w:val="28"/>
        </w:rPr>
        <w:t>201</w:t>
      </w:r>
      <w:r>
        <w:rPr>
          <w:rFonts w:ascii="楷体_GB2312" w:eastAsia="楷体_GB2312" w:hAnsi="Calibri" w:hint="eastAsia"/>
          <w:sz w:val="28"/>
          <w:szCs w:val="28"/>
        </w:rPr>
        <w:t>8</w:t>
      </w:r>
      <w:r>
        <w:rPr>
          <w:rFonts w:ascii="楷体_GB2312" w:eastAsia="楷体_GB2312" w:hAnsi="Calibri" w:hint="eastAsia"/>
          <w:sz w:val="28"/>
          <w:szCs w:val="28"/>
        </w:rPr>
        <w:t>年</w:t>
      </w:r>
      <w:r>
        <w:rPr>
          <w:rFonts w:ascii="楷体_GB2312" w:eastAsia="楷体_GB2312" w:hAnsi="Calibri"/>
          <w:sz w:val="28"/>
          <w:szCs w:val="28"/>
        </w:rPr>
        <w:t>9</w:t>
      </w:r>
      <w:r>
        <w:rPr>
          <w:rFonts w:ascii="楷体_GB2312" w:eastAsia="楷体_GB2312" w:hAnsi="Calibri" w:hint="eastAsia"/>
          <w:sz w:val="28"/>
          <w:szCs w:val="28"/>
        </w:rPr>
        <w:t>月</w:t>
      </w:r>
      <w:r>
        <w:rPr>
          <w:rFonts w:ascii="楷体_GB2312" w:eastAsia="楷体_GB2312" w:hAnsi="Calibri"/>
          <w:sz w:val="28"/>
          <w:szCs w:val="28"/>
        </w:rPr>
        <w:t>10</w:t>
      </w:r>
      <w:r>
        <w:rPr>
          <w:rFonts w:ascii="楷体_GB2312" w:eastAsia="楷体_GB2312" w:hAnsi="Calibri" w:hint="eastAsia"/>
          <w:sz w:val="28"/>
          <w:szCs w:val="28"/>
        </w:rPr>
        <w:t>日</w:t>
      </w:r>
    </w:p>
    <w:p w:rsidR="007036E4" w:rsidRDefault="007036E4"/>
    <w:p w:rsidR="007036E4" w:rsidRDefault="007036E4">
      <w:pPr>
        <w:spacing w:line="360" w:lineRule="auto"/>
        <w:jc w:val="center"/>
      </w:pPr>
    </w:p>
    <w:sectPr w:rsidR="007036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3E" w:rsidRDefault="008A333E" w:rsidP="00084DE9">
      <w:r>
        <w:separator/>
      </w:r>
    </w:p>
  </w:endnote>
  <w:endnote w:type="continuationSeparator" w:id="0">
    <w:p w:rsidR="008A333E" w:rsidRDefault="008A333E" w:rsidP="0008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3E" w:rsidRDefault="008A333E" w:rsidP="00084DE9">
      <w:r>
        <w:separator/>
      </w:r>
    </w:p>
  </w:footnote>
  <w:footnote w:type="continuationSeparator" w:id="0">
    <w:p w:rsidR="008A333E" w:rsidRDefault="008A333E" w:rsidP="0008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954"/>
    <w:multiLevelType w:val="multilevel"/>
    <w:tmpl w:val="08C40954"/>
    <w:lvl w:ilvl="0">
      <w:start w:val="1"/>
      <w:numFmt w:val="japaneseCounting"/>
      <w:lvlText w:val="%1、"/>
      <w:lvlJc w:val="left"/>
      <w:pPr>
        <w:tabs>
          <w:tab w:val="left" w:pos="1320"/>
        </w:tabs>
        <w:ind w:left="1320" w:hanging="72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1" w15:restartNumberingAfterBreak="0">
    <w:nsid w:val="3FE5706B"/>
    <w:multiLevelType w:val="multilevel"/>
    <w:tmpl w:val="3FE5706B"/>
    <w:lvl w:ilvl="0">
      <w:start w:val="1"/>
      <w:numFmt w:val="decimal"/>
      <w:lvlText w:val="%1."/>
      <w:lvlJc w:val="left"/>
      <w:pPr>
        <w:tabs>
          <w:tab w:val="left" w:pos="1110"/>
        </w:tabs>
        <w:ind w:left="1110" w:hanging="360"/>
      </w:pPr>
      <w:rPr>
        <w:rFonts w:cs="Times New Roman" w:hint="default"/>
      </w:rPr>
    </w:lvl>
    <w:lvl w:ilvl="1">
      <w:start w:val="1"/>
      <w:numFmt w:val="lowerLetter"/>
      <w:lvlText w:val="%2)"/>
      <w:lvlJc w:val="left"/>
      <w:pPr>
        <w:tabs>
          <w:tab w:val="left" w:pos="1590"/>
        </w:tabs>
        <w:ind w:left="1590" w:hanging="420"/>
      </w:pPr>
      <w:rPr>
        <w:rFonts w:cs="Times New Roman"/>
      </w:rPr>
    </w:lvl>
    <w:lvl w:ilvl="2">
      <w:start w:val="1"/>
      <w:numFmt w:val="lowerRoman"/>
      <w:lvlText w:val="%3."/>
      <w:lvlJc w:val="right"/>
      <w:pPr>
        <w:tabs>
          <w:tab w:val="left" w:pos="2010"/>
        </w:tabs>
        <w:ind w:left="2010" w:hanging="420"/>
      </w:pPr>
      <w:rPr>
        <w:rFonts w:cs="Times New Roman"/>
      </w:rPr>
    </w:lvl>
    <w:lvl w:ilvl="3">
      <w:start w:val="1"/>
      <w:numFmt w:val="decimal"/>
      <w:lvlText w:val="%4."/>
      <w:lvlJc w:val="left"/>
      <w:pPr>
        <w:tabs>
          <w:tab w:val="left" w:pos="2430"/>
        </w:tabs>
        <w:ind w:left="2430" w:hanging="420"/>
      </w:pPr>
      <w:rPr>
        <w:rFonts w:cs="Times New Roman"/>
      </w:rPr>
    </w:lvl>
    <w:lvl w:ilvl="4">
      <w:start w:val="1"/>
      <w:numFmt w:val="lowerLetter"/>
      <w:lvlText w:val="%5)"/>
      <w:lvlJc w:val="left"/>
      <w:pPr>
        <w:tabs>
          <w:tab w:val="left" w:pos="2850"/>
        </w:tabs>
        <w:ind w:left="2850" w:hanging="420"/>
      </w:pPr>
      <w:rPr>
        <w:rFonts w:cs="Times New Roman"/>
      </w:rPr>
    </w:lvl>
    <w:lvl w:ilvl="5">
      <w:start w:val="1"/>
      <w:numFmt w:val="lowerRoman"/>
      <w:lvlText w:val="%6."/>
      <w:lvlJc w:val="right"/>
      <w:pPr>
        <w:tabs>
          <w:tab w:val="left" w:pos="3270"/>
        </w:tabs>
        <w:ind w:left="3270" w:hanging="420"/>
      </w:pPr>
      <w:rPr>
        <w:rFonts w:cs="Times New Roman"/>
      </w:rPr>
    </w:lvl>
    <w:lvl w:ilvl="6">
      <w:start w:val="1"/>
      <w:numFmt w:val="decimal"/>
      <w:lvlText w:val="%7."/>
      <w:lvlJc w:val="left"/>
      <w:pPr>
        <w:tabs>
          <w:tab w:val="left" w:pos="3690"/>
        </w:tabs>
        <w:ind w:left="3690" w:hanging="420"/>
      </w:pPr>
      <w:rPr>
        <w:rFonts w:cs="Times New Roman"/>
      </w:rPr>
    </w:lvl>
    <w:lvl w:ilvl="7">
      <w:start w:val="1"/>
      <w:numFmt w:val="lowerLetter"/>
      <w:lvlText w:val="%8)"/>
      <w:lvlJc w:val="left"/>
      <w:pPr>
        <w:tabs>
          <w:tab w:val="left" w:pos="4110"/>
        </w:tabs>
        <w:ind w:left="4110" w:hanging="420"/>
      </w:pPr>
      <w:rPr>
        <w:rFonts w:cs="Times New Roman"/>
      </w:rPr>
    </w:lvl>
    <w:lvl w:ilvl="8">
      <w:start w:val="1"/>
      <w:numFmt w:val="lowerRoman"/>
      <w:lvlText w:val="%9."/>
      <w:lvlJc w:val="right"/>
      <w:pPr>
        <w:tabs>
          <w:tab w:val="left" w:pos="4530"/>
        </w:tabs>
        <w:ind w:left="4530" w:hanging="420"/>
      </w:pPr>
      <w:rPr>
        <w:rFonts w:cs="Times New Roman"/>
      </w:rPr>
    </w:lvl>
  </w:abstractNum>
  <w:abstractNum w:abstractNumId="2" w15:restartNumberingAfterBreak="0">
    <w:nsid w:val="6C0B37EC"/>
    <w:multiLevelType w:val="singleLevel"/>
    <w:tmpl w:val="6C0B37EC"/>
    <w:lvl w:ilvl="0">
      <w:start w:val="1"/>
      <w:numFmt w:val="upperLetter"/>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47F"/>
    <w:rsid w:val="00000E57"/>
    <w:rsid w:val="00067773"/>
    <w:rsid w:val="00084DE9"/>
    <w:rsid w:val="0008664D"/>
    <w:rsid w:val="000A7FB5"/>
    <w:rsid w:val="000B0671"/>
    <w:rsid w:val="000E1B59"/>
    <w:rsid w:val="00100949"/>
    <w:rsid w:val="00136A52"/>
    <w:rsid w:val="00172D41"/>
    <w:rsid w:val="00185D8F"/>
    <w:rsid w:val="001931FA"/>
    <w:rsid w:val="00196FAA"/>
    <w:rsid w:val="001A37BE"/>
    <w:rsid w:val="001B40D2"/>
    <w:rsid w:val="001C4F20"/>
    <w:rsid w:val="001D1B52"/>
    <w:rsid w:val="001E1701"/>
    <w:rsid w:val="001E407B"/>
    <w:rsid w:val="002220AE"/>
    <w:rsid w:val="00225DCE"/>
    <w:rsid w:val="00231A2D"/>
    <w:rsid w:val="00243726"/>
    <w:rsid w:val="00245F4E"/>
    <w:rsid w:val="002615DF"/>
    <w:rsid w:val="0026436D"/>
    <w:rsid w:val="00277FB6"/>
    <w:rsid w:val="00284522"/>
    <w:rsid w:val="00293DAE"/>
    <w:rsid w:val="002C218C"/>
    <w:rsid w:val="002D276E"/>
    <w:rsid w:val="002E7849"/>
    <w:rsid w:val="00320889"/>
    <w:rsid w:val="00324F18"/>
    <w:rsid w:val="00341D9B"/>
    <w:rsid w:val="00351C57"/>
    <w:rsid w:val="003F536C"/>
    <w:rsid w:val="004030AA"/>
    <w:rsid w:val="00446F0E"/>
    <w:rsid w:val="00462997"/>
    <w:rsid w:val="00466CF6"/>
    <w:rsid w:val="00486EF0"/>
    <w:rsid w:val="004E51E8"/>
    <w:rsid w:val="004F6507"/>
    <w:rsid w:val="00516051"/>
    <w:rsid w:val="005413B4"/>
    <w:rsid w:val="005543DF"/>
    <w:rsid w:val="005C4825"/>
    <w:rsid w:val="005C49FF"/>
    <w:rsid w:val="005E0B69"/>
    <w:rsid w:val="005F0D26"/>
    <w:rsid w:val="00625FC4"/>
    <w:rsid w:val="006B1BDC"/>
    <w:rsid w:val="007024C8"/>
    <w:rsid w:val="007036E4"/>
    <w:rsid w:val="00705C89"/>
    <w:rsid w:val="00711AC9"/>
    <w:rsid w:val="007614C2"/>
    <w:rsid w:val="00775CAE"/>
    <w:rsid w:val="00777AFD"/>
    <w:rsid w:val="00797A4B"/>
    <w:rsid w:val="007A63CE"/>
    <w:rsid w:val="007B5566"/>
    <w:rsid w:val="007E040E"/>
    <w:rsid w:val="007E6493"/>
    <w:rsid w:val="007F5E23"/>
    <w:rsid w:val="00810A80"/>
    <w:rsid w:val="00811E8F"/>
    <w:rsid w:val="0081682F"/>
    <w:rsid w:val="00831F17"/>
    <w:rsid w:val="00847900"/>
    <w:rsid w:val="0086192F"/>
    <w:rsid w:val="008A333E"/>
    <w:rsid w:val="008C43AE"/>
    <w:rsid w:val="008E6620"/>
    <w:rsid w:val="0091397E"/>
    <w:rsid w:val="00935DFE"/>
    <w:rsid w:val="009A214B"/>
    <w:rsid w:val="009B621A"/>
    <w:rsid w:val="00A22848"/>
    <w:rsid w:val="00AE4917"/>
    <w:rsid w:val="00B20FB0"/>
    <w:rsid w:val="00B41F3B"/>
    <w:rsid w:val="00B43B0B"/>
    <w:rsid w:val="00B5672B"/>
    <w:rsid w:val="00BC08C1"/>
    <w:rsid w:val="00BF067A"/>
    <w:rsid w:val="00C40D4E"/>
    <w:rsid w:val="00C84276"/>
    <w:rsid w:val="00CA6E07"/>
    <w:rsid w:val="00CD5921"/>
    <w:rsid w:val="00CF2132"/>
    <w:rsid w:val="00D0364D"/>
    <w:rsid w:val="00D064BB"/>
    <w:rsid w:val="00D544A7"/>
    <w:rsid w:val="00D665C1"/>
    <w:rsid w:val="00D75DF6"/>
    <w:rsid w:val="00D92FA1"/>
    <w:rsid w:val="00DA53A9"/>
    <w:rsid w:val="00DD1DFE"/>
    <w:rsid w:val="00DD21C8"/>
    <w:rsid w:val="00DE61CF"/>
    <w:rsid w:val="00E1781E"/>
    <w:rsid w:val="00E3647F"/>
    <w:rsid w:val="00E37175"/>
    <w:rsid w:val="00E7054D"/>
    <w:rsid w:val="00EA1E14"/>
    <w:rsid w:val="00EA536E"/>
    <w:rsid w:val="00ED593B"/>
    <w:rsid w:val="00F27C5B"/>
    <w:rsid w:val="00F27DDB"/>
    <w:rsid w:val="00F3625A"/>
    <w:rsid w:val="00F73DA3"/>
    <w:rsid w:val="00FB40DB"/>
    <w:rsid w:val="00FC4924"/>
    <w:rsid w:val="00FE33CF"/>
    <w:rsid w:val="03F3439C"/>
    <w:rsid w:val="1B5342DB"/>
    <w:rsid w:val="1FB35E45"/>
    <w:rsid w:val="25CE2C60"/>
    <w:rsid w:val="2B592F0E"/>
    <w:rsid w:val="39930356"/>
    <w:rsid w:val="3F58615A"/>
    <w:rsid w:val="40EB3530"/>
    <w:rsid w:val="4D400A4E"/>
    <w:rsid w:val="508A7677"/>
    <w:rsid w:val="5B1E712B"/>
    <w:rsid w:val="69DA0332"/>
    <w:rsid w:val="7657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A2A79B2"/>
  <w15:docId w15:val="{43C69BD1-EA4C-4E98-9867-AA4A4487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snapToGrid w:val="0"/>
      <w:jc w:val="left"/>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qFormat/>
    <w:locked/>
    <w:rPr>
      <w:rFonts w:ascii="Times New Roman" w:eastAsia="宋体" w:hAnsi="Times New Roman" w:cs="Times New Roman"/>
      <w:sz w:val="18"/>
      <w:szCs w:val="18"/>
    </w:rPr>
  </w:style>
  <w:style w:type="character" w:customStyle="1" w:styleId="a4">
    <w:name w:val="页脚 字符"/>
    <w:link w:val="a3"/>
    <w:uiPriority w:val="99"/>
    <w:semiHidden/>
    <w:qFormat/>
    <w:locked/>
    <w:rPr>
      <w:rFonts w:ascii="Times New Roman" w:eastAsia="宋体" w:hAnsi="Times New Roman" w:cs="Times New Roman"/>
      <w:sz w:val="18"/>
      <w:szCs w:val="18"/>
    </w:rPr>
  </w:style>
  <w:style w:type="paragraph" w:styleId="a7">
    <w:name w:val="List Paragraph"/>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204</Words>
  <Characters>1167</Characters>
  <Application>Microsoft Office Word</Application>
  <DocSecurity>0</DocSecurity>
  <Lines>9</Lines>
  <Paragraphs>2</Paragraphs>
  <ScaleCrop>false</ScaleCrop>
  <Company>微软中国</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上海理工大学出版印刷与艺术设计学院</dc:title>
  <dc:creator>微软用户</dc:creator>
  <cp:lastModifiedBy>Windows 用户</cp:lastModifiedBy>
  <cp:revision>9</cp:revision>
  <cp:lastPrinted>2013-04-28T02:21:00Z</cp:lastPrinted>
  <dcterms:created xsi:type="dcterms:W3CDTF">2013-07-02T01:51:00Z</dcterms:created>
  <dcterms:modified xsi:type="dcterms:W3CDTF">2018-09-18T06:26:00Z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